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C0EC4">
            <w:pPr>
              <w:rPr>
                <w:rFonts w:ascii="Arial" w:hAnsi="Arial"/>
              </w:rPr>
            </w:pPr>
            <w:r w:rsidRPr="00EC0EC4">
              <w:rPr>
                <w:rFonts w:ascii="Arial" w:hAnsi="Arial"/>
              </w:rPr>
              <w:t>Automotive Drive Trains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EC0EC4" w:rsidRPr="00EC0EC4" w:rsidRDefault="00EC0EC4" w:rsidP="00EC0EC4">
            <w:pPr>
              <w:rPr>
                <w:rFonts w:ascii="Arial" w:hAnsi="Arial"/>
              </w:rPr>
            </w:pPr>
            <w:r w:rsidRPr="00EC0EC4">
              <w:rPr>
                <w:rFonts w:ascii="Arial" w:hAnsi="Arial"/>
              </w:rPr>
              <w:t>MPT231</w:t>
            </w:r>
          </w:p>
          <w:p w:rsidR="00D1300B" w:rsidRPr="00F1598C" w:rsidRDefault="00EC0EC4" w:rsidP="00EC0EC4">
            <w:pPr>
              <w:rPr>
                <w:rFonts w:ascii="Arial" w:hAnsi="Arial"/>
              </w:rPr>
            </w:pPr>
            <w:r w:rsidRPr="00EC0EC4">
              <w:rPr>
                <w:rFonts w:ascii="Arial" w:hAnsi="Arial"/>
              </w:rPr>
              <w:t>MPT0231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C0EC4">
            <w:pPr>
              <w:rPr>
                <w:rFonts w:ascii="Arial" w:hAnsi="Arial"/>
              </w:rPr>
            </w:pPr>
            <w:r>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C0EC4">
            <w:pPr>
              <w:rPr>
                <w:rFonts w:ascii="Arial" w:hAnsi="Arial"/>
              </w:rPr>
            </w:pPr>
            <w:r w:rsidRPr="00EC0EC4">
              <w:rPr>
                <w:rFonts w:ascii="Arial" w:hAnsi="Arial"/>
              </w:rPr>
              <w:t>Stephen Kent</w:t>
            </w:r>
          </w:p>
          <w:p w:rsidR="00757B48" w:rsidRPr="00F1598C" w:rsidRDefault="00EC0EC4">
            <w:pPr>
              <w:rPr>
                <w:rFonts w:ascii="Arial" w:hAnsi="Arial"/>
              </w:rPr>
            </w:pPr>
            <w:r>
              <w:rPr>
                <w:rFonts w:ascii="Arial" w:hAnsi="Arial"/>
              </w:rPr>
              <w:t>Rachel Valois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EC0EC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C0EC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C0EC4">
            <w:pPr>
              <w:rPr>
                <w:rFonts w:ascii="Arial" w:hAnsi="Arial"/>
              </w:rPr>
            </w:pPr>
            <w:r>
              <w:rPr>
                <w:rFonts w:ascii="Arial" w:hAnsi="Arial"/>
              </w:rPr>
              <w:t>MPF</w:t>
            </w:r>
            <w:r>
              <w:rPr>
                <w:rFonts w:ascii="Arial" w:hAnsi="Arial"/>
              </w:rPr>
              <w:t>103</w:t>
            </w:r>
            <w:r>
              <w:rPr>
                <w:rFonts w:ascii="Arial" w:hAnsi="Arial"/>
              </w:rPr>
              <w:t>/MPF0103  MPF</w:t>
            </w:r>
            <w:r>
              <w:rPr>
                <w:rFonts w:ascii="Arial" w:hAnsi="Arial"/>
              </w:rPr>
              <w:t>127</w:t>
            </w:r>
            <w:r>
              <w:rPr>
                <w:rFonts w:ascii="Arial" w:hAnsi="Arial"/>
              </w:rPr>
              <w:t>/MPF0127</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Ind w:w="18" w:type="dxa"/>
        <w:tblLayout w:type="fixed"/>
        <w:tblLook w:val="04A0" w:firstRow="1" w:lastRow="0" w:firstColumn="1" w:lastColumn="0" w:noHBand="0" w:noVBand="1"/>
      </w:tblPr>
      <w:tblGrid>
        <w:gridCol w:w="630"/>
        <w:gridCol w:w="8190"/>
        <w:gridCol w:w="18"/>
      </w:tblGrid>
      <w:tr w:rsidR="00EC0EC4" w:rsidTr="00EC0EC4">
        <w:trPr>
          <w:trHeight w:val="3231"/>
        </w:trPr>
        <w:tc>
          <w:tcPr>
            <w:tcW w:w="630" w:type="dxa"/>
            <w:hideMark/>
          </w:tcPr>
          <w:p w:rsidR="00EC0EC4" w:rsidRDefault="00EC0EC4">
            <w:pPr>
              <w:rPr>
                <w:rFonts w:ascii="Arial" w:hAnsi="Arial"/>
                <w:b/>
              </w:rPr>
            </w:pPr>
            <w:r>
              <w:rPr>
                <w:rFonts w:ascii="Arial" w:hAnsi="Arial"/>
                <w:b/>
              </w:rPr>
              <w:lastRenderedPageBreak/>
              <w:t>I.</w:t>
            </w:r>
          </w:p>
        </w:tc>
        <w:tc>
          <w:tcPr>
            <w:tcW w:w="8208" w:type="dxa"/>
            <w:gridSpan w:val="2"/>
            <w:hideMark/>
          </w:tcPr>
          <w:p w:rsidR="00EC0EC4" w:rsidRDefault="00EC0EC4">
            <w:pPr>
              <w:shd w:val="clear" w:color="auto" w:fill="FFFFFF"/>
              <w:spacing w:after="240" w:line="336" w:lineRule="atLeast"/>
              <w:rPr>
                <w:rFonts w:ascii="Arial" w:hAnsi="Arial" w:cs="Arial"/>
                <w:color w:val="000000"/>
                <w:sz w:val="19"/>
                <w:szCs w:val="19"/>
                <w:lang w:val="en-CA" w:eastAsia="en-CA"/>
              </w:rPr>
            </w:pPr>
            <w:r>
              <w:rPr>
                <w:rFonts w:ascii="Arial" w:hAnsi="Arial"/>
                <w:b/>
              </w:rPr>
              <w:t>COURSE DESCRIPTION:</w:t>
            </w:r>
            <w:r>
              <w:rPr>
                <w:rFonts w:ascii="Arial" w:hAnsi="Arial" w:cs="Arial"/>
                <w:color w:val="000000"/>
                <w:sz w:val="19"/>
                <w:szCs w:val="19"/>
              </w:rPr>
              <w:t xml:space="preserve"> </w:t>
            </w:r>
            <w:r>
              <w:rPr>
                <w:rFonts w:ascii="Arial" w:hAnsi="Arial" w:cs="Arial"/>
                <w:color w:val="000000"/>
                <w:szCs w:val="24"/>
                <w:lang w:val="en-CA" w:eastAsia="en-CA"/>
              </w:rPr>
              <w:t>In this course, you will be introduced to manual transaxles and front wheel drive axle assemblies. You will also disassemble and reassemble manual transaxles and CV shafts. Automatic transmissions will be introduced focusing on pump types, valves, torque converters, driving and holding devices and planetary gear sets both simple and compound. You will disassemble and trace power flows through an automatic transmission and perform pressure tests. You will also be introduced to four wheel drive and all wheel drive systems focusing on construction and operation.</w:t>
            </w:r>
          </w:p>
        </w:tc>
      </w:tr>
      <w:tr w:rsidR="00EC0EC4" w:rsidTr="00EC0EC4">
        <w:trPr>
          <w:cantSplit/>
        </w:trPr>
        <w:tc>
          <w:tcPr>
            <w:tcW w:w="630" w:type="dxa"/>
            <w:hideMark/>
          </w:tcPr>
          <w:p w:rsidR="00EC0EC4" w:rsidRDefault="00EC0EC4">
            <w:pPr>
              <w:rPr>
                <w:rFonts w:ascii="Arial" w:hAnsi="Arial"/>
                <w:b/>
              </w:rPr>
            </w:pPr>
            <w:r>
              <w:rPr>
                <w:rFonts w:ascii="Arial" w:hAnsi="Arial"/>
                <w:b/>
              </w:rPr>
              <w:t>II.</w:t>
            </w:r>
          </w:p>
        </w:tc>
        <w:tc>
          <w:tcPr>
            <w:tcW w:w="8208" w:type="dxa"/>
            <w:gridSpan w:val="2"/>
          </w:tcPr>
          <w:p w:rsidR="00EC0EC4" w:rsidRDefault="00EC0EC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C0EC4" w:rsidRDefault="00EC0EC4">
            <w:pPr>
              <w:rPr>
                <w:rFonts w:ascii="Arial" w:hAnsi="Arial"/>
              </w:rPr>
            </w:pPr>
          </w:p>
        </w:tc>
      </w:tr>
      <w:tr w:rsidR="00EC0EC4" w:rsidTr="00EC0EC4">
        <w:trPr>
          <w:cantSplit/>
        </w:trPr>
        <w:tc>
          <w:tcPr>
            <w:tcW w:w="630" w:type="dxa"/>
          </w:tcPr>
          <w:p w:rsidR="00EC0EC4" w:rsidRDefault="00EC0EC4">
            <w:pPr>
              <w:rPr>
                <w:rFonts w:ascii="Arial" w:hAnsi="Arial"/>
              </w:rPr>
            </w:pPr>
          </w:p>
        </w:tc>
        <w:tc>
          <w:tcPr>
            <w:tcW w:w="8208" w:type="dxa"/>
            <w:gridSpan w:val="2"/>
          </w:tcPr>
          <w:p w:rsidR="00EC0EC4" w:rsidRDefault="00EC0EC4">
            <w:pPr>
              <w:rPr>
                <w:rFonts w:ascii="Arial" w:hAnsi="Arial"/>
              </w:rPr>
            </w:pPr>
            <w:r>
              <w:rPr>
                <w:rFonts w:ascii="Arial" w:hAnsi="Arial"/>
              </w:rPr>
              <w:t>Upon successful completion of this course, the CICE student, along with the assistance of a Learning Specialist, will demonstrate the basic ability to:</w:t>
            </w:r>
          </w:p>
          <w:p w:rsidR="00EC0EC4" w:rsidRDefault="00EC0EC4">
            <w:pPr>
              <w:rPr>
                <w:rFonts w:ascii="Arial" w:hAnsi="Arial"/>
              </w:rPr>
            </w:pPr>
          </w:p>
        </w:tc>
      </w:tr>
      <w:tr w:rsidR="00EC0EC4" w:rsidTr="00EC0EC4">
        <w:trPr>
          <w:gridAfter w:val="1"/>
          <w:wAfter w:w="18" w:type="dxa"/>
        </w:trPr>
        <w:tc>
          <w:tcPr>
            <w:tcW w:w="630" w:type="dxa"/>
          </w:tcPr>
          <w:p w:rsidR="00EC0EC4" w:rsidRDefault="00EC0EC4" w:rsidP="00EC0EC4">
            <w:pPr>
              <w:rPr>
                <w:rFonts w:ascii="Arial" w:hAnsi="Arial"/>
                <w:b/>
                <w:i/>
              </w:rPr>
            </w:pPr>
            <w:r>
              <w:rPr>
                <w:rFonts w:ascii="Arial" w:hAnsi="Arial"/>
                <w:b/>
                <w:i/>
              </w:rPr>
              <w:t>1.</w:t>
            </w:r>
          </w:p>
          <w:p w:rsidR="00EC0EC4" w:rsidRDefault="00EC0EC4">
            <w:pPr>
              <w:rPr>
                <w:rFonts w:ascii="Arial" w:hAnsi="Arial"/>
              </w:rPr>
            </w:pPr>
          </w:p>
        </w:tc>
        <w:tc>
          <w:tcPr>
            <w:tcW w:w="8190" w:type="dxa"/>
            <w:hideMark/>
          </w:tcPr>
          <w:p w:rsidR="00EC0EC4" w:rsidRDefault="00EC0EC4">
            <w:pPr>
              <w:pStyle w:val="EnvelopeReturn"/>
              <w:rPr>
                <w:b/>
                <w:i/>
              </w:rPr>
            </w:pPr>
            <w:r>
              <w:rPr>
                <w:b/>
                <w:i/>
              </w:rPr>
              <w:t>Explore the functions, constructions, types, styles and applications of front wheel drive axle assemblies.</w:t>
            </w:r>
          </w:p>
          <w:p w:rsidR="00EC0EC4" w:rsidRDefault="00EC0EC4">
            <w:pPr>
              <w:pStyle w:val="EnvelopeReturn"/>
              <w:rPr>
                <w:b/>
                <w:i/>
                <w:sz w:val="8"/>
                <w:szCs w:val="8"/>
              </w:rPr>
            </w:pP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pStyle w:val="BodyText"/>
              <w:rPr>
                <w:rFonts w:ascii="Arial" w:hAnsi="Arial"/>
              </w:rPr>
            </w:pPr>
            <w:r>
              <w:rPr>
                <w:rFonts w:ascii="Arial" w:hAnsi="Arial"/>
                <w:u w:val="single"/>
              </w:rPr>
              <w:t>Potential Elements of the Performance</w:t>
            </w:r>
            <w:r>
              <w:rPr>
                <w:rFonts w:ascii="Arial" w:hAnsi="Arial"/>
              </w:rPr>
              <w:t>:</w:t>
            </w:r>
          </w:p>
          <w:p w:rsidR="00EC0EC4" w:rsidRDefault="00EC0EC4">
            <w:pPr>
              <w:pStyle w:val="BodyText"/>
              <w:rPr>
                <w:rFonts w:ascii="Arial" w:hAnsi="Arial"/>
              </w:rPr>
            </w:pPr>
            <w:r>
              <w:rPr>
                <w:rFonts w:ascii="Arial" w:hAnsi="Arial"/>
              </w:rPr>
              <w:t>Explore the following:</w:t>
            </w:r>
          </w:p>
          <w:p w:rsidR="00EC0EC4" w:rsidRDefault="00EC0EC4" w:rsidP="00EC0EC4">
            <w:pPr>
              <w:pStyle w:val="BodyText"/>
              <w:numPr>
                <w:ilvl w:val="0"/>
                <w:numId w:val="23"/>
              </w:numPr>
              <w:spacing w:after="0"/>
              <w:rPr>
                <w:rFonts w:ascii="Arial" w:hAnsi="Arial" w:cs="Arial"/>
              </w:rPr>
            </w:pPr>
            <w:r>
              <w:rPr>
                <w:rFonts w:ascii="Arial" w:hAnsi="Arial" w:cs="Arial"/>
              </w:rPr>
              <w:t>front wheel drive axles</w:t>
            </w:r>
          </w:p>
          <w:p w:rsidR="00EC0EC4" w:rsidRDefault="00EC0EC4" w:rsidP="00EC0EC4">
            <w:pPr>
              <w:pStyle w:val="BodyText"/>
              <w:numPr>
                <w:ilvl w:val="0"/>
                <w:numId w:val="23"/>
              </w:numPr>
              <w:spacing w:after="0"/>
              <w:rPr>
                <w:rFonts w:ascii="Arial" w:hAnsi="Arial" w:cs="Arial"/>
              </w:rPr>
            </w:pPr>
            <w:r>
              <w:rPr>
                <w:rFonts w:ascii="Arial" w:hAnsi="Arial" w:cs="Arial"/>
              </w:rPr>
              <w:t>half shafts</w:t>
            </w:r>
          </w:p>
          <w:p w:rsidR="00EC0EC4" w:rsidRDefault="00EC0EC4" w:rsidP="00EC0EC4">
            <w:pPr>
              <w:pStyle w:val="BodyText"/>
              <w:numPr>
                <w:ilvl w:val="0"/>
                <w:numId w:val="23"/>
              </w:numPr>
              <w:spacing w:after="0"/>
              <w:rPr>
                <w:rFonts w:ascii="Arial" w:hAnsi="Arial" w:cs="Arial"/>
              </w:rPr>
            </w:pPr>
            <w:r>
              <w:rPr>
                <w:rFonts w:ascii="Arial" w:hAnsi="Arial" w:cs="Arial"/>
              </w:rPr>
              <w:t>constant velocity</w:t>
            </w:r>
          </w:p>
          <w:p w:rsidR="00EC0EC4" w:rsidRDefault="00EC0EC4" w:rsidP="00EC0EC4">
            <w:pPr>
              <w:pStyle w:val="BodyText"/>
              <w:numPr>
                <w:ilvl w:val="0"/>
                <w:numId w:val="23"/>
              </w:numPr>
              <w:spacing w:after="0"/>
              <w:rPr>
                <w:rFonts w:ascii="Arial" w:hAnsi="Arial" w:cs="Arial"/>
              </w:rPr>
            </w:pPr>
            <w:r>
              <w:rPr>
                <w:rFonts w:ascii="Arial" w:hAnsi="Arial" w:cs="Arial"/>
              </w:rPr>
              <w:t>bearings</w:t>
            </w:r>
          </w:p>
          <w:p w:rsidR="00EC0EC4" w:rsidRDefault="00EC0EC4" w:rsidP="00EC0EC4">
            <w:pPr>
              <w:pStyle w:val="BodyText"/>
              <w:numPr>
                <w:ilvl w:val="0"/>
                <w:numId w:val="23"/>
              </w:numPr>
              <w:spacing w:after="0"/>
              <w:rPr>
                <w:rFonts w:ascii="Arial" w:hAnsi="Arial" w:cs="Arial"/>
              </w:rPr>
            </w:pPr>
            <w:r>
              <w:rPr>
                <w:rFonts w:ascii="Arial" w:hAnsi="Arial" w:cs="Arial"/>
              </w:rPr>
              <w:t>constant velocity (CV) boots</w:t>
            </w:r>
          </w:p>
          <w:p w:rsidR="00EC0EC4" w:rsidRDefault="00EC0EC4" w:rsidP="00EC0EC4">
            <w:pPr>
              <w:pStyle w:val="BodyText"/>
              <w:numPr>
                <w:ilvl w:val="0"/>
                <w:numId w:val="23"/>
              </w:numPr>
              <w:spacing w:after="0"/>
              <w:rPr>
                <w:rFonts w:ascii="Arial" w:hAnsi="Arial" w:cs="Arial"/>
              </w:rPr>
            </w:pPr>
            <w:r>
              <w:rPr>
                <w:rFonts w:ascii="Arial" w:hAnsi="Arial" w:cs="Arial"/>
              </w:rPr>
              <w:t>vibration damper</w:t>
            </w:r>
          </w:p>
          <w:p w:rsidR="00EC0EC4" w:rsidRDefault="00EC0EC4" w:rsidP="00EC0EC4">
            <w:pPr>
              <w:pStyle w:val="BodyText"/>
              <w:numPr>
                <w:ilvl w:val="0"/>
                <w:numId w:val="23"/>
              </w:numPr>
              <w:spacing w:after="0"/>
              <w:rPr>
                <w:rFonts w:ascii="Arial" w:hAnsi="Arial" w:cs="Arial"/>
              </w:rPr>
            </w:pPr>
            <w:r>
              <w:rPr>
                <w:rFonts w:ascii="Arial" w:hAnsi="Arial" w:cs="Arial"/>
              </w:rPr>
              <w:t>front wheel drive axles</w:t>
            </w:r>
          </w:p>
          <w:p w:rsidR="00EC0EC4" w:rsidRDefault="00EC0EC4" w:rsidP="00EC0EC4">
            <w:pPr>
              <w:pStyle w:val="BodyText"/>
              <w:numPr>
                <w:ilvl w:val="0"/>
                <w:numId w:val="23"/>
              </w:numPr>
              <w:spacing w:after="0"/>
              <w:rPr>
                <w:rFonts w:ascii="Arial" w:hAnsi="Arial" w:cs="Arial"/>
              </w:rPr>
            </w:pPr>
            <w:r>
              <w:rPr>
                <w:rFonts w:ascii="Arial" w:hAnsi="Arial" w:cs="Arial"/>
              </w:rPr>
              <w:t>torque steer</w:t>
            </w:r>
          </w:p>
          <w:p w:rsidR="00EC0EC4" w:rsidRDefault="00EC0EC4" w:rsidP="00EC0EC4">
            <w:pPr>
              <w:pStyle w:val="BodyText"/>
              <w:numPr>
                <w:ilvl w:val="0"/>
                <w:numId w:val="23"/>
              </w:numPr>
              <w:spacing w:after="0"/>
              <w:rPr>
                <w:rFonts w:ascii="Arial" w:hAnsi="Arial" w:cs="Arial"/>
              </w:rPr>
            </w:pPr>
            <w:r>
              <w:rPr>
                <w:rFonts w:ascii="Arial" w:hAnsi="Arial" w:cs="Arial"/>
              </w:rPr>
              <w:t>inner and outer constant velocity joints</w:t>
            </w:r>
          </w:p>
          <w:p w:rsidR="00EC0EC4" w:rsidRDefault="00EC0EC4" w:rsidP="00EC0EC4">
            <w:pPr>
              <w:pStyle w:val="BodyText"/>
              <w:numPr>
                <w:ilvl w:val="0"/>
                <w:numId w:val="23"/>
              </w:numPr>
              <w:spacing w:after="0"/>
              <w:rPr>
                <w:rFonts w:ascii="Arial" w:hAnsi="Arial" w:cs="Arial"/>
              </w:rPr>
            </w:pPr>
            <w:r>
              <w:rPr>
                <w:rFonts w:ascii="Arial" w:hAnsi="Arial" w:cs="Arial"/>
              </w:rPr>
              <w:t>vibration damper operation</w:t>
            </w:r>
          </w:p>
          <w:p w:rsidR="00EC0EC4" w:rsidRDefault="00EC0EC4">
            <w:pPr>
              <w:pStyle w:val="BodyText"/>
              <w:spacing w:after="0"/>
              <w:ind w:left="1080"/>
              <w:rPr>
                <w:rFonts w:ascii="Arial" w:hAnsi="Arial"/>
              </w:rPr>
            </w:pPr>
          </w:p>
        </w:tc>
      </w:tr>
      <w:tr w:rsidR="00EC0EC4" w:rsidTr="00EC0EC4">
        <w:trPr>
          <w:gridAfter w:val="1"/>
          <w:wAfter w:w="18" w:type="dxa"/>
          <w:trHeight w:val="441"/>
        </w:trPr>
        <w:tc>
          <w:tcPr>
            <w:tcW w:w="630" w:type="dxa"/>
          </w:tcPr>
          <w:p w:rsidR="00EC0EC4" w:rsidRDefault="00EC0EC4">
            <w:pPr>
              <w:rPr>
                <w:rFonts w:ascii="Arial" w:hAnsi="Arial"/>
              </w:rPr>
            </w:pPr>
            <w:r>
              <w:rPr>
                <w:rFonts w:ascii="Arial" w:hAnsi="Arial"/>
                <w:b/>
                <w:i/>
              </w:rPr>
              <w:t>2.</w:t>
            </w:r>
          </w:p>
        </w:tc>
        <w:tc>
          <w:tcPr>
            <w:tcW w:w="8190" w:type="dxa"/>
            <w:hideMark/>
          </w:tcPr>
          <w:p w:rsidR="00EC0EC4" w:rsidRDefault="00EC0EC4">
            <w:pPr>
              <w:rPr>
                <w:rFonts w:ascii="Arial" w:hAnsi="Arial"/>
                <w:b/>
                <w:i/>
              </w:rPr>
            </w:pPr>
            <w:r>
              <w:rPr>
                <w:rFonts w:ascii="Arial" w:hAnsi="Arial"/>
                <w:b/>
                <w:i/>
              </w:rPr>
              <w:t>Explore the construction and operation of manual transaxles.</w:t>
            </w: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rPr>
                <w:rFonts w:ascii="Arial" w:hAnsi="Arial"/>
                <w:u w:val="single"/>
              </w:rPr>
            </w:pPr>
            <w:r>
              <w:rPr>
                <w:rFonts w:ascii="Arial" w:hAnsi="Arial"/>
                <w:u w:val="single"/>
              </w:rPr>
              <w:t>Potential Elements of the Performance:</w:t>
            </w:r>
          </w:p>
          <w:p w:rsidR="00EC0EC4" w:rsidRDefault="00EC0EC4" w:rsidP="00EC0EC4">
            <w:pPr>
              <w:numPr>
                <w:ilvl w:val="0"/>
                <w:numId w:val="24"/>
              </w:numPr>
              <w:rPr>
                <w:rFonts w:ascii="Arial" w:hAnsi="Arial"/>
              </w:rPr>
            </w:pPr>
            <w:r>
              <w:rPr>
                <w:rFonts w:ascii="Arial" w:hAnsi="Arial"/>
              </w:rPr>
              <w:t>Review the similarities and differences of front wheel drive vs. rear wheel drive.</w:t>
            </w:r>
          </w:p>
          <w:p w:rsidR="00EC0EC4" w:rsidRDefault="00EC0EC4" w:rsidP="00EC0EC4">
            <w:pPr>
              <w:numPr>
                <w:ilvl w:val="0"/>
                <w:numId w:val="24"/>
              </w:numPr>
              <w:rPr>
                <w:rFonts w:ascii="Arial" w:hAnsi="Arial"/>
              </w:rPr>
            </w:pPr>
            <w:r>
              <w:rPr>
                <w:rFonts w:ascii="Arial" w:hAnsi="Arial"/>
              </w:rPr>
              <w:t>Trace power flows through a transaxle.</w:t>
            </w:r>
          </w:p>
          <w:p w:rsidR="00EC0EC4" w:rsidRDefault="00EC0EC4" w:rsidP="00EC0EC4">
            <w:pPr>
              <w:numPr>
                <w:ilvl w:val="0"/>
                <w:numId w:val="24"/>
              </w:numPr>
              <w:rPr>
                <w:rFonts w:ascii="Arial" w:hAnsi="Arial"/>
              </w:rPr>
            </w:pPr>
            <w:r>
              <w:rPr>
                <w:rFonts w:ascii="Arial" w:hAnsi="Arial"/>
              </w:rPr>
              <w:t>Identify the operation of the synchronizer hub assembly.</w:t>
            </w:r>
          </w:p>
          <w:p w:rsidR="00EC0EC4" w:rsidRDefault="00EC0EC4" w:rsidP="00EC0EC4">
            <w:pPr>
              <w:numPr>
                <w:ilvl w:val="0"/>
                <w:numId w:val="24"/>
              </w:numPr>
              <w:rPr>
                <w:rFonts w:ascii="Arial" w:hAnsi="Arial"/>
              </w:rPr>
            </w:pPr>
            <w:r>
              <w:rPr>
                <w:rFonts w:ascii="Arial" w:hAnsi="Arial"/>
              </w:rPr>
              <w:t>Outline shift mechanisms.</w:t>
            </w:r>
          </w:p>
          <w:p w:rsidR="00EC0EC4" w:rsidRDefault="00EC0EC4" w:rsidP="00EC0EC4">
            <w:pPr>
              <w:numPr>
                <w:ilvl w:val="0"/>
                <w:numId w:val="24"/>
              </w:numPr>
              <w:rPr>
                <w:rFonts w:ascii="Arial" w:hAnsi="Arial"/>
              </w:rPr>
            </w:pPr>
            <w:r>
              <w:rPr>
                <w:rFonts w:ascii="Arial" w:hAnsi="Arial"/>
              </w:rPr>
              <w:t>Perform, or assist with performing, the disassembly and inspection of a transaxle and perform, or assist with performing, the assigned operations to determine gear ratio and final drive ratio.</w:t>
            </w:r>
          </w:p>
          <w:p w:rsidR="00EC0EC4" w:rsidRDefault="00EC0EC4">
            <w:pPr>
              <w:ind w:left="360"/>
              <w:rPr>
                <w:rFonts w:ascii="Arial" w:hAnsi="Arial"/>
              </w:rPr>
            </w:pPr>
          </w:p>
        </w:tc>
      </w:tr>
      <w:tr w:rsidR="00EC0EC4" w:rsidTr="00EC0EC4">
        <w:trPr>
          <w:gridAfter w:val="1"/>
          <w:wAfter w:w="18" w:type="dxa"/>
          <w:trHeight w:val="414"/>
        </w:trPr>
        <w:tc>
          <w:tcPr>
            <w:tcW w:w="630" w:type="dxa"/>
          </w:tcPr>
          <w:p w:rsidR="00EC0EC4" w:rsidRDefault="00EC0EC4">
            <w:pPr>
              <w:rPr>
                <w:rFonts w:ascii="Arial" w:hAnsi="Arial"/>
              </w:rPr>
            </w:pPr>
            <w:r>
              <w:rPr>
                <w:rFonts w:ascii="Arial" w:hAnsi="Arial"/>
                <w:b/>
                <w:i/>
              </w:rPr>
              <w:lastRenderedPageBreak/>
              <w:t>3.</w:t>
            </w:r>
          </w:p>
        </w:tc>
        <w:tc>
          <w:tcPr>
            <w:tcW w:w="8190" w:type="dxa"/>
            <w:hideMark/>
          </w:tcPr>
          <w:p w:rsidR="00EC0EC4" w:rsidRDefault="00EC0EC4">
            <w:pPr>
              <w:rPr>
                <w:rFonts w:ascii="Arial" w:hAnsi="Arial"/>
                <w:b/>
                <w:i/>
              </w:rPr>
            </w:pPr>
            <w:r>
              <w:rPr>
                <w:rFonts w:ascii="Arial" w:hAnsi="Arial"/>
                <w:b/>
                <w:i/>
              </w:rPr>
              <w:t>Explore front wheel drive axle construction and operation.</w:t>
            </w: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rPr>
                <w:rFonts w:ascii="Arial" w:hAnsi="Arial"/>
              </w:rPr>
            </w:pPr>
            <w:r>
              <w:rPr>
                <w:rFonts w:ascii="Arial" w:hAnsi="Arial"/>
                <w:u w:val="single"/>
              </w:rPr>
              <w:t>Potential Elements of the Performance</w:t>
            </w:r>
            <w:r>
              <w:rPr>
                <w:rFonts w:ascii="Arial" w:hAnsi="Arial"/>
              </w:rPr>
              <w:t>:</w:t>
            </w:r>
          </w:p>
          <w:p w:rsidR="00EC0EC4" w:rsidRDefault="00EC0EC4" w:rsidP="00EC0EC4">
            <w:pPr>
              <w:numPr>
                <w:ilvl w:val="0"/>
                <w:numId w:val="25"/>
              </w:numPr>
              <w:rPr>
                <w:rFonts w:ascii="Arial" w:hAnsi="Arial"/>
              </w:rPr>
            </w:pPr>
            <w:r>
              <w:rPr>
                <w:rFonts w:ascii="Arial" w:hAnsi="Arial"/>
              </w:rPr>
              <w:t>Identify the difference between a plunge and a fixed CV joint.</w:t>
            </w:r>
          </w:p>
          <w:p w:rsidR="00EC0EC4" w:rsidRDefault="00EC0EC4" w:rsidP="00EC0EC4">
            <w:pPr>
              <w:numPr>
                <w:ilvl w:val="0"/>
                <w:numId w:val="25"/>
              </w:numPr>
              <w:rPr>
                <w:rFonts w:ascii="Arial" w:hAnsi="Arial"/>
              </w:rPr>
            </w:pPr>
            <w:r>
              <w:rPr>
                <w:rFonts w:ascii="Arial" w:hAnsi="Arial"/>
              </w:rPr>
              <w:t>Perform, or assist with performing, the removal and installation of axle assemblies from vehicles.</w:t>
            </w:r>
          </w:p>
          <w:p w:rsidR="00EC0EC4" w:rsidRDefault="00EC0EC4" w:rsidP="00EC0EC4">
            <w:pPr>
              <w:numPr>
                <w:ilvl w:val="0"/>
                <w:numId w:val="25"/>
              </w:numPr>
              <w:rPr>
                <w:rFonts w:ascii="Arial" w:hAnsi="Arial"/>
              </w:rPr>
            </w:pPr>
            <w:r>
              <w:rPr>
                <w:rFonts w:ascii="Arial" w:hAnsi="Arial"/>
              </w:rPr>
              <w:t>Perform, or assist with performing, assigned operations to remove CV boots and joints from the half shafts.</w:t>
            </w:r>
          </w:p>
          <w:p w:rsidR="00EC0EC4" w:rsidRDefault="00EC0EC4" w:rsidP="00EC0EC4">
            <w:pPr>
              <w:numPr>
                <w:ilvl w:val="0"/>
                <w:numId w:val="25"/>
              </w:numPr>
              <w:rPr>
                <w:rFonts w:ascii="Arial" w:hAnsi="Arial"/>
              </w:rPr>
            </w:pPr>
            <w:r>
              <w:rPr>
                <w:rFonts w:ascii="Arial" w:hAnsi="Arial"/>
              </w:rPr>
              <w:t xml:space="preserve">Identify the diagnostic sequence used to determine CV joint failure. </w:t>
            </w:r>
          </w:p>
          <w:p w:rsidR="00EC0EC4" w:rsidRDefault="00EC0EC4">
            <w:pPr>
              <w:ind w:left="360"/>
              <w:rPr>
                <w:rFonts w:ascii="Arial" w:hAnsi="Arial"/>
              </w:rPr>
            </w:pPr>
          </w:p>
        </w:tc>
      </w:tr>
      <w:tr w:rsidR="00EC0EC4" w:rsidTr="00EC0EC4">
        <w:trPr>
          <w:gridAfter w:val="1"/>
          <w:wAfter w:w="18" w:type="dxa"/>
          <w:trHeight w:val="693"/>
        </w:trPr>
        <w:tc>
          <w:tcPr>
            <w:tcW w:w="630" w:type="dxa"/>
          </w:tcPr>
          <w:p w:rsidR="00EC0EC4" w:rsidRDefault="00EC0EC4" w:rsidP="00EC0EC4">
            <w:pPr>
              <w:rPr>
                <w:rFonts w:ascii="Arial" w:hAnsi="Arial"/>
                <w:b/>
                <w:i/>
              </w:rPr>
            </w:pPr>
            <w:r>
              <w:rPr>
                <w:rFonts w:ascii="Arial" w:hAnsi="Arial"/>
                <w:b/>
                <w:i/>
              </w:rPr>
              <w:t>4.</w:t>
            </w:r>
          </w:p>
          <w:p w:rsidR="00EC0EC4" w:rsidRDefault="00EC0EC4">
            <w:pPr>
              <w:rPr>
                <w:rFonts w:ascii="Arial" w:hAnsi="Arial"/>
              </w:rPr>
            </w:pPr>
          </w:p>
        </w:tc>
        <w:tc>
          <w:tcPr>
            <w:tcW w:w="8190" w:type="dxa"/>
            <w:hideMark/>
          </w:tcPr>
          <w:p w:rsidR="00EC0EC4" w:rsidRDefault="00EC0EC4">
            <w:pPr>
              <w:pStyle w:val="EnvelopeReturn"/>
              <w:rPr>
                <w:b/>
                <w:i/>
              </w:rPr>
            </w:pPr>
            <w:r>
              <w:rPr>
                <w:b/>
                <w:i/>
              </w:rPr>
              <w:t>Explore the construction and operating principles of automatic transmissions.</w:t>
            </w: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rPr>
                <w:rFonts w:ascii="Arial" w:hAnsi="Arial"/>
              </w:rPr>
            </w:pPr>
            <w:r>
              <w:rPr>
                <w:rFonts w:ascii="Arial" w:hAnsi="Arial"/>
                <w:u w:val="single"/>
              </w:rPr>
              <w:t>Potential Elements of the Performance</w:t>
            </w:r>
            <w:r>
              <w:rPr>
                <w:rFonts w:ascii="Arial" w:hAnsi="Arial"/>
              </w:rPr>
              <w:t>:</w:t>
            </w:r>
          </w:p>
          <w:p w:rsidR="00EC0EC4" w:rsidRDefault="00EC0EC4" w:rsidP="00EC0EC4">
            <w:pPr>
              <w:numPr>
                <w:ilvl w:val="0"/>
                <w:numId w:val="26"/>
              </w:numPr>
              <w:rPr>
                <w:rFonts w:ascii="Arial" w:hAnsi="Arial"/>
              </w:rPr>
            </w:pPr>
            <w:r>
              <w:rPr>
                <w:rFonts w:ascii="Arial" w:hAnsi="Arial"/>
              </w:rPr>
              <w:t>Outline clutch pack and band operation.</w:t>
            </w:r>
          </w:p>
          <w:p w:rsidR="00EC0EC4" w:rsidRDefault="00EC0EC4" w:rsidP="00EC0EC4">
            <w:pPr>
              <w:numPr>
                <w:ilvl w:val="0"/>
                <w:numId w:val="26"/>
              </w:numPr>
              <w:rPr>
                <w:rFonts w:ascii="Arial" w:hAnsi="Arial"/>
              </w:rPr>
            </w:pPr>
            <w:r>
              <w:rPr>
                <w:rFonts w:ascii="Arial" w:hAnsi="Arial"/>
              </w:rPr>
              <w:t>List three types of pumps.</w:t>
            </w:r>
          </w:p>
          <w:p w:rsidR="00EC0EC4" w:rsidRDefault="00EC0EC4" w:rsidP="00EC0EC4">
            <w:pPr>
              <w:numPr>
                <w:ilvl w:val="0"/>
                <w:numId w:val="26"/>
              </w:numPr>
              <w:rPr>
                <w:rFonts w:ascii="Arial" w:hAnsi="Arial"/>
              </w:rPr>
            </w:pPr>
            <w:r>
              <w:rPr>
                <w:rFonts w:ascii="Arial" w:hAnsi="Arial"/>
              </w:rPr>
              <w:t>Outline control devices.</w:t>
            </w:r>
          </w:p>
          <w:p w:rsidR="00EC0EC4" w:rsidRDefault="00EC0EC4" w:rsidP="00EC0EC4">
            <w:pPr>
              <w:numPr>
                <w:ilvl w:val="0"/>
                <w:numId w:val="26"/>
              </w:numPr>
              <w:rPr>
                <w:rFonts w:ascii="Arial" w:hAnsi="Arial"/>
              </w:rPr>
            </w:pPr>
            <w:r>
              <w:rPr>
                <w:rFonts w:ascii="Arial" w:hAnsi="Arial"/>
              </w:rPr>
              <w:t>Outline a compound planetary gear set.</w:t>
            </w:r>
          </w:p>
          <w:p w:rsidR="00EC0EC4" w:rsidRDefault="00EC0EC4" w:rsidP="00EC0EC4">
            <w:pPr>
              <w:numPr>
                <w:ilvl w:val="0"/>
                <w:numId w:val="26"/>
              </w:numPr>
              <w:rPr>
                <w:rFonts w:ascii="Arial" w:hAnsi="Arial"/>
              </w:rPr>
            </w:pPr>
            <w:r>
              <w:rPr>
                <w:rFonts w:ascii="Arial" w:hAnsi="Arial"/>
              </w:rPr>
              <w:t>Outline torque converter operation.</w:t>
            </w:r>
          </w:p>
          <w:p w:rsidR="00EC0EC4" w:rsidRDefault="00EC0EC4">
            <w:pPr>
              <w:ind w:left="360"/>
              <w:rPr>
                <w:rFonts w:ascii="Arial" w:hAnsi="Arial"/>
              </w:rPr>
            </w:pPr>
          </w:p>
        </w:tc>
      </w:tr>
      <w:tr w:rsidR="00EC0EC4" w:rsidTr="00EC0EC4">
        <w:trPr>
          <w:gridAfter w:val="1"/>
          <w:wAfter w:w="18" w:type="dxa"/>
          <w:trHeight w:val="774"/>
        </w:trPr>
        <w:tc>
          <w:tcPr>
            <w:tcW w:w="630" w:type="dxa"/>
          </w:tcPr>
          <w:p w:rsidR="00EC0EC4" w:rsidRDefault="00EC0EC4" w:rsidP="00EC0EC4">
            <w:pPr>
              <w:rPr>
                <w:rFonts w:ascii="Arial" w:hAnsi="Arial"/>
                <w:b/>
                <w:i/>
              </w:rPr>
            </w:pPr>
            <w:r>
              <w:rPr>
                <w:rFonts w:ascii="Arial" w:hAnsi="Arial"/>
                <w:b/>
                <w:i/>
              </w:rPr>
              <w:t>5.</w:t>
            </w:r>
          </w:p>
          <w:p w:rsidR="00EC0EC4" w:rsidRDefault="00EC0EC4">
            <w:pPr>
              <w:rPr>
                <w:rFonts w:ascii="Arial" w:hAnsi="Arial"/>
              </w:rPr>
            </w:pPr>
          </w:p>
        </w:tc>
        <w:tc>
          <w:tcPr>
            <w:tcW w:w="8190" w:type="dxa"/>
            <w:hideMark/>
          </w:tcPr>
          <w:p w:rsidR="00EC0EC4" w:rsidRDefault="00EC0EC4">
            <w:pPr>
              <w:pStyle w:val="EnvelopeReturn"/>
              <w:rPr>
                <w:b/>
                <w:i/>
              </w:rPr>
            </w:pPr>
            <w:r>
              <w:rPr>
                <w:b/>
                <w:i/>
              </w:rPr>
              <w:t>Explore special tools required for servicing and repairing automatic transmission equipped vehicles.</w:t>
            </w: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rPr>
                <w:rFonts w:ascii="Arial" w:hAnsi="Arial"/>
              </w:rPr>
            </w:pPr>
            <w:r>
              <w:rPr>
                <w:rFonts w:ascii="Arial" w:hAnsi="Arial"/>
                <w:u w:val="single"/>
              </w:rPr>
              <w:t>Potential Elements of the Performance</w:t>
            </w:r>
            <w:r>
              <w:rPr>
                <w:rFonts w:ascii="Arial" w:hAnsi="Arial"/>
              </w:rPr>
              <w:t>:</w:t>
            </w:r>
          </w:p>
          <w:p w:rsidR="00EC0EC4" w:rsidRDefault="00EC0EC4" w:rsidP="00EC0EC4">
            <w:pPr>
              <w:numPr>
                <w:ilvl w:val="0"/>
                <w:numId w:val="27"/>
              </w:numPr>
              <w:rPr>
                <w:rFonts w:ascii="Arial" w:hAnsi="Arial"/>
              </w:rPr>
            </w:pPr>
            <w:r>
              <w:rPr>
                <w:rFonts w:ascii="Arial" w:hAnsi="Arial"/>
              </w:rPr>
              <w:t>Identify tools used for transmission repair.</w:t>
            </w:r>
          </w:p>
          <w:p w:rsidR="00EC0EC4" w:rsidRDefault="00EC0EC4" w:rsidP="00EC0EC4">
            <w:pPr>
              <w:numPr>
                <w:ilvl w:val="0"/>
                <w:numId w:val="27"/>
              </w:numPr>
              <w:rPr>
                <w:rFonts w:ascii="Arial" w:hAnsi="Arial"/>
              </w:rPr>
            </w:pPr>
            <w:r>
              <w:rPr>
                <w:rFonts w:ascii="Arial" w:hAnsi="Arial"/>
              </w:rPr>
              <w:t>Outline how clutch packs are disassembled.</w:t>
            </w:r>
          </w:p>
          <w:p w:rsidR="00EC0EC4" w:rsidRDefault="00EC0EC4">
            <w:pPr>
              <w:ind w:left="720"/>
              <w:rPr>
                <w:rFonts w:ascii="Arial" w:hAnsi="Arial"/>
              </w:rPr>
            </w:pPr>
          </w:p>
        </w:tc>
      </w:tr>
      <w:tr w:rsidR="00EC0EC4" w:rsidTr="00EC0EC4">
        <w:trPr>
          <w:gridAfter w:val="1"/>
          <w:wAfter w:w="18" w:type="dxa"/>
          <w:trHeight w:val="756"/>
        </w:trPr>
        <w:tc>
          <w:tcPr>
            <w:tcW w:w="630" w:type="dxa"/>
          </w:tcPr>
          <w:p w:rsidR="00EC0EC4" w:rsidRDefault="00EC0EC4" w:rsidP="00EC0EC4">
            <w:pPr>
              <w:rPr>
                <w:rFonts w:ascii="Arial" w:hAnsi="Arial"/>
                <w:b/>
                <w:i/>
              </w:rPr>
            </w:pPr>
            <w:r>
              <w:rPr>
                <w:rFonts w:ascii="Arial" w:hAnsi="Arial"/>
                <w:b/>
                <w:i/>
              </w:rPr>
              <w:t>6.</w:t>
            </w:r>
          </w:p>
          <w:p w:rsidR="00EC0EC4" w:rsidRDefault="00EC0EC4">
            <w:pPr>
              <w:rPr>
                <w:rFonts w:ascii="Arial" w:hAnsi="Arial"/>
              </w:rPr>
            </w:pPr>
          </w:p>
        </w:tc>
        <w:tc>
          <w:tcPr>
            <w:tcW w:w="8190" w:type="dxa"/>
            <w:hideMark/>
          </w:tcPr>
          <w:p w:rsidR="00EC0EC4" w:rsidRDefault="00EC0EC4">
            <w:pPr>
              <w:pStyle w:val="EnvelopeReturn"/>
              <w:rPr>
                <w:b/>
                <w:i/>
              </w:rPr>
            </w:pPr>
            <w:r>
              <w:rPr>
                <w:b/>
                <w:i/>
              </w:rPr>
              <w:t>Explore the construction, types, styles and application of transfer case assemblies.</w:t>
            </w:r>
          </w:p>
        </w:tc>
      </w:tr>
      <w:tr w:rsidR="00EC0EC4" w:rsidTr="00EC0EC4">
        <w:trPr>
          <w:gridAfter w:val="1"/>
          <w:wAfter w:w="18" w:type="dxa"/>
        </w:trPr>
        <w:tc>
          <w:tcPr>
            <w:tcW w:w="630" w:type="dxa"/>
          </w:tcPr>
          <w:p w:rsidR="00EC0EC4" w:rsidRDefault="00EC0EC4">
            <w:pPr>
              <w:rPr>
                <w:rFonts w:ascii="Arial" w:hAnsi="Arial"/>
              </w:rPr>
            </w:pPr>
          </w:p>
        </w:tc>
        <w:tc>
          <w:tcPr>
            <w:tcW w:w="8190" w:type="dxa"/>
          </w:tcPr>
          <w:p w:rsidR="00EC0EC4" w:rsidRDefault="00EC0EC4">
            <w:pPr>
              <w:rPr>
                <w:rFonts w:ascii="Arial" w:hAnsi="Arial"/>
              </w:rPr>
            </w:pPr>
            <w:r>
              <w:rPr>
                <w:rFonts w:ascii="Arial" w:hAnsi="Arial"/>
                <w:u w:val="single"/>
              </w:rPr>
              <w:t>Potential Elements of the Performance</w:t>
            </w:r>
            <w:r>
              <w:rPr>
                <w:rFonts w:ascii="Arial" w:hAnsi="Arial"/>
              </w:rPr>
              <w:t>:</w:t>
            </w:r>
          </w:p>
          <w:p w:rsidR="00EC0EC4" w:rsidRDefault="00EC0EC4" w:rsidP="00EC0EC4">
            <w:pPr>
              <w:numPr>
                <w:ilvl w:val="0"/>
                <w:numId w:val="28"/>
              </w:numPr>
              <w:rPr>
                <w:rFonts w:ascii="Arial" w:hAnsi="Arial"/>
              </w:rPr>
            </w:pPr>
            <w:r>
              <w:rPr>
                <w:rFonts w:ascii="Arial" w:hAnsi="Arial"/>
              </w:rPr>
              <w:t>Outline shifting</w:t>
            </w:r>
          </w:p>
          <w:p w:rsidR="00EC0EC4" w:rsidRDefault="00EC0EC4" w:rsidP="00EC0EC4">
            <w:pPr>
              <w:numPr>
                <w:ilvl w:val="0"/>
                <w:numId w:val="28"/>
              </w:numPr>
              <w:rPr>
                <w:rFonts w:ascii="Arial" w:hAnsi="Arial"/>
              </w:rPr>
            </w:pPr>
            <w:r>
              <w:rPr>
                <w:rFonts w:ascii="Arial" w:hAnsi="Arial"/>
              </w:rPr>
              <w:t>Outline ranges</w:t>
            </w:r>
          </w:p>
          <w:p w:rsidR="00EC0EC4" w:rsidRDefault="00EC0EC4" w:rsidP="00EC0EC4">
            <w:pPr>
              <w:numPr>
                <w:ilvl w:val="0"/>
                <w:numId w:val="28"/>
              </w:numPr>
              <w:rPr>
                <w:rFonts w:ascii="Arial" w:hAnsi="Arial"/>
              </w:rPr>
            </w:pPr>
            <w:r>
              <w:rPr>
                <w:rFonts w:ascii="Arial" w:hAnsi="Arial"/>
              </w:rPr>
              <w:t>Outline internal operation of manual and automatic four wheel drive transfer cases.</w:t>
            </w:r>
          </w:p>
          <w:p w:rsidR="00EC0EC4" w:rsidRDefault="00EC0EC4">
            <w:pPr>
              <w:ind w:left="360"/>
              <w:rPr>
                <w:rFonts w:ascii="Arial" w:hAnsi="Arial"/>
              </w:rPr>
            </w:pPr>
          </w:p>
        </w:tc>
      </w:tr>
    </w:tbl>
    <w:p w:rsidR="00EC0EC4" w:rsidRDefault="00EC0EC4" w:rsidP="00EC0EC4">
      <w:pPr>
        <w:rPr>
          <w:rFonts w:ascii="Arial" w:hAnsi="Arial"/>
        </w:rPr>
      </w:pPr>
    </w:p>
    <w:p w:rsidR="00EC0EC4" w:rsidRDefault="00EC0EC4" w:rsidP="00EC0EC4">
      <w:pPr>
        <w:rPr>
          <w:rFonts w:ascii="Arial" w:hAnsi="Arial"/>
        </w:rPr>
      </w:pPr>
      <w:r>
        <w:rPr>
          <w:rFonts w:ascii="Arial" w:hAnsi="Arial"/>
        </w:rPr>
        <w:br w:type="page"/>
      </w:r>
    </w:p>
    <w:tbl>
      <w:tblPr>
        <w:tblW w:w="8838" w:type="dxa"/>
        <w:tblLayout w:type="fixed"/>
        <w:tblLook w:val="04A0" w:firstRow="1" w:lastRow="0" w:firstColumn="1" w:lastColumn="0" w:noHBand="0" w:noVBand="1"/>
      </w:tblPr>
      <w:tblGrid>
        <w:gridCol w:w="630"/>
        <w:gridCol w:w="540"/>
        <w:gridCol w:w="7668"/>
      </w:tblGrid>
      <w:tr w:rsidR="00EC0EC4" w:rsidTr="00EC0EC4">
        <w:trPr>
          <w:cantSplit/>
        </w:trPr>
        <w:tc>
          <w:tcPr>
            <w:tcW w:w="630" w:type="dxa"/>
            <w:hideMark/>
          </w:tcPr>
          <w:p w:rsidR="00EC0EC4" w:rsidRDefault="00EC0EC4">
            <w:pPr>
              <w:rPr>
                <w:rFonts w:ascii="Arial" w:hAnsi="Arial"/>
                <w:b/>
              </w:rPr>
            </w:pPr>
            <w:r>
              <w:rPr>
                <w:rFonts w:ascii="Arial" w:hAnsi="Arial"/>
                <w:b/>
              </w:rPr>
              <w:lastRenderedPageBreak/>
              <w:t>III.</w:t>
            </w:r>
          </w:p>
        </w:tc>
        <w:tc>
          <w:tcPr>
            <w:tcW w:w="8208" w:type="dxa"/>
            <w:gridSpan w:val="2"/>
          </w:tcPr>
          <w:p w:rsidR="00EC0EC4" w:rsidRDefault="00EC0EC4">
            <w:pPr>
              <w:shd w:val="clear" w:color="auto" w:fill="FFFFFF"/>
              <w:rPr>
                <w:rFonts w:ascii="Arial" w:hAnsi="Arial"/>
                <w:b/>
              </w:rPr>
            </w:pPr>
            <w:r>
              <w:rPr>
                <w:rFonts w:ascii="Arial" w:hAnsi="Arial"/>
                <w:b/>
              </w:rPr>
              <w:t>TOPICS</w:t>
            </w:r>
          </w:p>
          <w:p w:rsidR="00EC0EC4" w:rsidRDefault="00EC0EC4">
            <w:pPr>
              <w:shd w:val="clear" w:color="auto" w:fill="FFFFFF"/>
              <w:rPr>
                <w:rFonts w:ascii="Arial" w:hAnsi="Arial"/>
                <w:b/>
              </w:rPr>
            </w:pP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1.</w:t>
            </w:r>
          </w:p>
        </w:tc>
        <w:tc>
          <w:tcPr>
            <w:tcW w:w="7668" w:type="dxa"/>
            <w:hideMark/>
          </w:tcPr>
          <w:p w:rsidR="00EC0EC4" w:rsidRDefault="00EC0EC4">
            <w:pPr>
              <w:pStyle w:val="EnvelopeReturn"/>
            </w:pPr>
            <w:r>
              <w:t>Explore the functions, construction, types, styles and application of front wheel drive axle assemblies.</w:t>
            </w: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2.</w:t>
            </w:r>
          </w:p>
        </w:tc>
        <w:tc>
          <w:tcPr>
            <w:tcW w:w="7668" w:type="dxa"/>
            <w:hideMark/>
          </w:tcPr>
          <w:p w:rsidR="00EC0EC4" w:rsidRDefault="00EC0EC4">
            <w:pPr>
              <w:rPr>
                <w:rFonts w:ascii="Arial" w:hAnsi="Arial"/>
              </w:rPr>
            </w:pPr>
            <w:r>
              <w:rPr>
                <w:rFonts w:ascii="Arial" w:hAnsi="Arial"/>
              </w:rPr>
              <w:t>Explore the construction and operation of manual transaxles.</w:t>
            </w: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3.</w:t>
            </w:r>
          </w:p>
        </w:tc>
        <w:tc>
          <w:tcPr>
            <w:tcW w:w="7668" w:type="dxa"/>
            <w:hideMark/>
          </w:tcPr>
          <w:p w:rsidR="00EC0EC4" w:rsidRDefault="00EC0EC4">
            <w:pPr>
              <w:rPr>
                <w:rFonts w:ascii="Arial" w:hAnsi="Arial"/>
              </w:rPr>
            </w:pPr>
            <w:r>
              <w:rPr>
                <w:rFonts w:ascii="Arial" w:hAnsi="Arial"/>
              </w:rPr>
              <w:t>Explore front wheel drive axle construction and operation.</w:t>
            </w: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4.</w:t>
            </w:r>
          </w:p>
        </w:tc>
        <w:tc>
          <w:tcPr>
            <w:tcW w:w="7668" w:type="dxa"/>
            <w:hideMark/>
          </w:tcPr>
          <w:p w:rsidR="00EC0EC4" w:rsidRDefault="00EC0EC4">
            <w:pPr>
              <w:pStyle w:val="EnvelopeReturn"/>
            </w:pPr>
            <w:r>
              <w:t>Explore the construction and operating principles of automatic transmissions.</w:t>
            </w: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5.</w:t>
            </w:r>
          </w:p>
        </w:tc>
        <w:tc>
          <w:tcPr>
            <w:tcW w:w="7668" w:type="dxa"/>
            <w:hideMark/>
          </w:tcPr>
          <w:p w:rsidR="00EC0EC4" w:rsidRDefault="00EC0EC4">
            <w:pPr>
              <w:pStyle w:val="EnvelopeReturn"/>
            </w:pPr>
            <w:r>
              <w:t>Explore special tools required for servicing and repairing automatic transmission equipped vehicles.</w:t>
            </w:r>
          </w:p>
        </w:tc>
      </w:tr>
      <w:tr w:rsidR="00EC0EC4" w:rsidTr="00EC0EC4">
        <w:tc>
          <w:tcPr>
            <w:tcW w:w="630" w:type="dxa"/>
          </w:tcPr>
          <w:p w:rsidR="00EC0EC4" w:rsidRDefault="00EC0EC4">
            <w:pPr>
              <w:rPr>
                <w:rFonts w:ascii="Arial" w:hAnsi="Arial"/>
              </w:rPr>
            </w:pPr>
          </w:p>
        </w:tc>
        <w:tc>
          <w:tcPr>
            <w:tcW w:w="540" w:type="dxa"/>
            <w:hideMark/>
          </w:tcPr>
          <w:p w:rsidR="00EC0EC4" w:rsidRDefault="00EC0EC4">
            <w:pPr>
              <w:rPr>
                <w:rFonts w:ascii="Arial" w:hAnsi="Arial"/>
              </w:rPr>
            </w:pPr>
            <w:r>
              <w:rPr>
                <w:rFonts w:ascii="Arial" w:hAnsi="Arial"/>
              </w:rPr>
              <w:t>6</w:t>
            </w:r>
          </w:p>
        </w:tc>
        <w:tc>
          <w:tcPr>
            <w:tcW w:w="7668" w:type="dxa"/>
            <w:hideMark/>
          </w:tcPr>
          <w:p w:rsidR="00EC0EC4" w:rsidRDefault="00EC0EC4">
            <w:pPr>
              <w:pStyle w:val="EnvelopeReturn"/>
            </w:pPr>
            <w:r>
              <w:t>Explore the construction, types, styles and application of transfer case assemblies.</w:t>
            </w:r>
          </w:p>
        </w:tc>
      </w:tr>
      <w:tr w:rsidR="00EC0EC4" w:rsidTr="00EC0EC4">
        <w:tc>
          <w:tcPr>
            <w:tcW w:w="630" w:type="dxa"/>
          </w:tcPr>
          <w:p w:rsidR="00EC0EC4" w:rsidRDefault="00EC0EC4">
            <w:pPr>
              <w:rPr>
                <w:rFonts w:ascii="Arial" w:hAnsi="Arial"/>
              </w:rPr>
            </w:pPr>
          </w:p>
        </w:tc>
        <w:tc>
          <w:tcPr>
            <w:tcW w:w="540" w:type="dxa"/>
          </w:tcPr>
          <w:p w:rsidR="00EC0EC4" w:rsidRDefault="00EC0EC4">
            <w:pPr>
              <w:rPr>
                <w:rFonts w:ascii="Arial" w:hAnsi="Arial"/>
              </w:rPr>
            </w:pPr>
          </w:p>
        </w:tc>
        <w:tc>
          <w:tcPr>
            <w:tcW w:w="7668" w:type="dxa"/>
          </w:tcPr>
          <w:p w:rsidR="00EC0EC4" w:rsidRDefault="00EC0EC4">
            <w:pPr>
              <w:pStyle w:val="EnvelopeReturn"/>
              <w:rPr>
                <w:u w:val="single"/>
              </w:rPr>
            </w:pPr>
          </w:p>
        </w:tc>
      </w:tr>
      <w:tr w:rsidR="00EC0EC4" w:rsidTr="00EC0EC4">
        <w:trPr>
          <w:cantSplit/>
          <w:trHeight w:val="4563"/>
        </w:trPr>
        <w:tc>
          <w:tcPr>
            <w:tcW w:w="630" w:type="dxa"/>
            <w:hideMark/>
          </w:tcPr>
          <w:p w:rsidR="00EC0EC4" w:rsidRDefault="00EC0EC4">
            <w:pPr>
              <w:rPr>
                <w:rFonts w:ascii="Arial" w:hAnsi="Arial"/>
                <w:b/>
              </w:rPr>
            </w:pPr>
            <w:r>
              <w:rPr>
                <w:rFonts w:ascii="Arial" w:hAnsi="Arial"/>
                <w:b/>
              </w:rPr>
              <w:t>IV.</w:t>
            </w:r>
          </w:p>
        </w:tc>
        <w:tc>
          <w:tcPr>
            <w:tcW w:w="8208" w:type="dxa"/>
            <w:gridSpan w:val="2"/>
          </w:tcPr>
          <w:p w:rsidR="00EC0EC4" w:rsidRDefault="00EC0EC4">
            <w:pPr>
              <w:shd w:val="clear" w:color="auto" w:fill="FFFFFF"/>
              <w:spacing w:before="240" w:after="240"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EC0EC4" w:rsidRDefault="00EC0EC4">
            <w:pPr>
              <w:shd w:val="clear" w:color="auto" w:fill="FFFFFF"/>
              <w:spacing w:before="240" w:line="336" w:lineRule="atLeast"/>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Approach/AST Test Prep</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06 ed., 17810#</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Erjavec</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val="en-CA" w:eastAsia="en-CA"/>
                  </w:rPr>
                  <w:t>Canada</w:t>
                </w:r>
              </w:smartTag>
            </w:smartTag>
          </w:p>
          <w:p w:rsidR="00EC0EC4" w:rsidRDefault="00EC0EC4">
            <w:pPr>
              <w:pStyle w:val="EnvelopeReturn"/>
            </w:pPr>
            <w:r>
              <w:t>Pens, pencils, calculator, 3-ring binder</w:t>
            </w:r>
          </w:p>
          <w:p w:rsidR="00EC0EC4" w:rsidRDefault="00EC0EC4">
            <w:pPr>
              <w:pStyle w:val="EnvelopeReturn"/>
            </w:pPr>
          </w:p>
          <w:p w:rsidR="00EC0EC4" w:rsidRDefault="00EC0EC4">
            <w:pPr>
              <w:pStyle w:val="EnvelopeReturn"/>
            </w:pPr>
            <w:r>
              <w:t>*shop coat or coveralls</w:t>
            </w:r>
          </w:p>
          <w:p w:rsidR="00EC0EC4" w:rsidRDefault="00EC0EC4">
            <w:pPr>
              <w:pStyle w:val="EnvelopeReturn"/>
            </w:pPr>
            <w:r>
              <w:t>*CSA approved steel toe boots (high top)</w:t>
            </w:r>
          </w:p>
          <w:p w:rsidR="00EC0EC4" w:rsidRDefault="00EC0EC4">
            <w:pPr>
              <w:pStyle w:val="EnvelopeReturn"/>
            </w:pPr>
            <w:r>
              <w:t>*CSA approved safety glasses</w:t>
            </w:r>
          </w:p>
          <w:p w:rsidR="00EC0EC4" w:rsidRDefault="00EC0EC4">
            <w:pPr>
              <w:pStyle w:val="EnvelopeReturn"/>
            </w:pPr>
          </w:p>
          <w:p w:rsidR="00EC0EC4" w:rsidRDefault="00EC0EC4">
            <w:pPr>
              <w:pStyle w:val="EnvelopeReturn"/>
            </w:pPr>
            <w:r>
              <w:t>*these items mandatory for shop</w:t>
            </w:r>
          </w:p>
          <w:p w:rsidR="00EC0EC4" w:rsidRDefault="00EC0EC4">
            <w:pPr>
              <w:rPr>
                <w:rFonts w:ascii="Arial" w:hAnsi="Arial"/>
                <w:i/>
              </w:rPr>
            </w:pPr>
          </w:p>
        </w:tc>
      </w:tr>
    </w:tbl>
    <w:p w:rsidR="00EC0EC4" w:rsidRDefault="00EC0EC4" w:rsidP="00EC0EC4">
      <w:pPr>
        <w:rPr>
          <w:rFonts w:ascii="Arial" w:hAnsi="Arial"/>
        </w:rPr>
      </w:pPr>
    </w:p>
    <w:p w:rsidR="00EC0EC4" w:rsidRDefault="00EC0EC4" w:rsidP="00EC0EC4">
      <w:pPr>
        <w:rPr>
          <w:rFonts w:ascii="Arial" w:hAnsi="Arial"/>
        </w:rPr>
      </w:pPr>
      <w:r>
        <w:rPr>
          <w:rFonts w:ascii="Arial" w:hAnsi="Arial"/>
        </w:rPr>
        <w:br w:type="page"/>
      </w:r>
    </w:p>
    <w:tbl>
      <w:tblPr>
        <w:tblW w:w="8838" w:type="dxa"/>
        <w:tblLayout w:type="fixed"/>
        <w:tblLook w:val="04A0" w:firstRow="1" w:lastRow="0" w:firstColumn="1" w:lastColumn="0" w:noHBand="0" w:noVBand="1"/>
      </w:tblPr>
      <w:tblGrid>
        <w:gridCol w:w="630"/>
        <w:gridCol w:w="8208"/>
      </w:tblGrid>
      <w:tr w:rsidR="00EC0EC4" w:rsidTr="00EC0EC4">
        <w:trPr>
          <w:cantSplit/>
        </w:trPr>
        <w:tc>
          <w:tcPr>
            <w:tcW w:w="630" w:type="dxa"/>
            <w:hideMark/>
          </w:tcPr>
          <w:p w:rsidR="00EC0EC4" w:rsidRDefault="00EC0EC4">
            <w:pPr>
              <w:rPr>
                <w:rFonts w:ascii="Arial" w:hAnsi="Arial" w:cs="Arial"/>
                <w:b/>
              </w:rPr>
            </w:pPr>
            <w:r>
              <w:rPr>
                <w:rFonts w:ascii="Arial" w:hAnsi="Arial" w:cs="Arial"/>
                <w:b/>
              </w:rPr>
              <w:lastRenderedPageBreak/>
              <w:t>V.</w:t>
            </w:r>
          </w:p>
        </w:tc>
        <w:tc>
          <w:tcPr>
            <w:tcW w:w="8208" w:type="dxa"/>
          </w:tcPr>
          <w:p w:rsidR="00EC0EC4" w:rsidRDefault="00EC0EC4">
            <w:pPr>
              <w:rPr>
                <w:rFonts w:ascii="Arial" w:hAnsi="Arial" w:cs="Arial"/>
                <w:b/>
              </w:rPr>
            </w:pPr>
            <w:r>
              <w:rPr>
                <w:rFonts w:ascii="Arial" w:hAnsi="Arial" w:cs="Arial"/>
                <w:b/>
              </w:rPr>
              <w:t>EVALUATION PROCESS/GRADING SYSTEM:</w:t>
            </w:r>
          </w:p>
          <w:p w:rsidR="00EC0EC4" w:rsidRDefault="00EC0EC4">
            <w:pPr>
              <w:pStyle w:val="EnvelopeReturn"/>
              <w:rPr>
                <w:rFonts w:cs="Arial"/>
              </w:rPr>
            </w:pPr>
            <w:r>
              <w:rPr>
                <w:rFonts w:cs="Arial"/>
              </w:rPr>
              <w:t>The final grade for this course will be based on the results of classroom, assignments and shop evaluations weighed as indicated:</w:t>
            </w:r>
          </w:p>
          <w:p w:rsidR="00EC0EC4" w:rsidRDefault="00EC0EC4">
            <w:pPr>
              <w:pStyle w:val="EnvelopeReturn"/>
              <w:rPr>
                <w:rFonts w:cs="Arial"/>
              </w:rPr>
            </w:pPr>
          </w:p>
          <w:p w:rsidR="00EC0EC4" w:rsidRDefault="00EC0EC4" w:rsidP="00EC0EC4">
            <w:pPr>
              <w:pStyle w:val="EnvelopeReturn"/>
              <w:numPr>
                <w:ilvl w:val="0"/>
                <w:numId w:val="29"/>
              </w:numPr>
              <w:rPr>
                <w:rFonts w:cs="Arial"/>
              </w:rPr>
            </w:pPr>
            <w:r>
              <w:rPr>
                <w:rFonts w:cs="Arial"/>
              </w:rPr>
              <w:t>Classroom – 40% of the final grade is comprised of term tests.</w:t>
            </w:r>
          </w:p>
          <w:p w:rsidR="00EC0EC4" w:rsidRDefault="00EC0EC4" w:rsidP="00EC0EC4">
            <w:pPr>
              <w:pStyle w:val="EnvelopeReturn"/>
              <w:numPr>
                <w:ilvl w:val="0"/>
                <w:numId w:val="29"/>
              </w:numPr>
              <w:rPr>
                <w:rFonts w:cs="Arial"/>
              </w:rPr>
            </w:pPr>
            <w:r>
              <w:rPr>
                <w:rFonts w:cs="Arial"/>
              </w:rPr>
              <w:t>Assignments – 10% of the final grade is comprised of a number of technical reports or assignments.</w:t>
            </w:r>
          </w:p>
          <w:p w:rsidR="00EC0EC4" w:rsidRDefault="00EC0EC4" w:rsidP="00EC0EC4">
            <w:pPr>
              <w:pStyle w:val="EnvelopeReturn"/>
              <w:numPr>
                <w:ilvl w:val="0"/>
                <w:numId w:val="29"/>
              </w:numPr>
              <w:rPr>
                <w:rFonts w:cs="Arial"/>
              </w:rPr>
            </w:pPr>
            <w:r>
              <w:rPr>
                <w:rFonts w:cs="Arial"/>
              </w:rPr>
              <w:t>Shop – 50% of the final grade is comprised of attendance, punctuality, preparedness, student ability, work organization and general attitude.</w:t>
            </w:r>
          </w:p>
          <w:p w:rsidR="00EC0EC4" w:rsidRDefault="00EC0EC4">
            <w:pPr>
              <w:pStyle w:val="EnvelopeReturn"/>
              <w:ind w:left="360"/>
              <w:rPr>
                <w:rFonts w:cs="Arial"/>
              </w:rPr>
            </w:pPr>
          </w:p>
          <w:p w:rsidR="00EC0EC4" w:rsidRDefault="00EC0EC4">
            <w:pPr>
              <w:jc w:val="center"/>
              <w:rPr>
                <w:rFonts w:ascii="Arial" w:hAnsi="Arial" w:cs="Arial"/>
                <w:bCs/>
              </w:rPr>
            </w:pPr>
            <w:r>
              <w:rPr>
                <w:rFonts w:ascii="Arial" w:hAnsi="Arial" w:cs="Arial"/>
              </w:rPr>
              <w:t>(Student will be given notice of test and assignment dates in advance)</w:t>
            </w:r>
          </w:p>
          <w:p w:rsidR="00EC0EC4" w:rsidRDefault="00EC0EC4">
            <w:pPr>
              <w:rPr>
                <w:rFonts w:ascii="Arial" w:hAnsi="Arial" w:cs="Arial"/>
              </w:rPr>
            </w:pPr>
          </w:p>
          <w:p w:rsidR="00EC0EC4" w:rsidRDefault="00EC0EC4">
            <w:pPr>
              <w:rPr>
                <w:rFonts w:ascii="Arial" w:hAnsi="Arial" w:cs="Arial"/>
              </w:rPr>
            </w:pPr>
          </w:p>
        </w:tc>
      </w:tr>
      <w:tr w:rsidR="00EC0EC4" w:rsidTr="00EC0EC4">
        <w:trPr>
          <w:cantSplit/>
        </w:trPr>
        <w:tc>
          <w:tcPr>
            <w:tcW w:w="630" w:type="dxa"/>
          </w:tcPr>
          <w:p w:rsidR="00EC0EC4" w:rsidRDefault="00EC0EC4">
            <w:pPr>
              <w:pStyle w:val="EnvelopeReturn"/>
            </w:pPr>
          </w:p>
        </w:tc>
        <w:tc>
          <w:tcPr>
            <w:tcW w:w="8208" w:type="dxa"/>
            <w:hideMark/>
          </w:tcPr>
          <w:p w:rsidR="00EC0EC4" w:rsidRDefault="00EC0EC4">
            <w:pPr>
              <w:rPr>
                <w:rFonts w:ascii="Arial" w:hAnsi="Arial"/>
              </w:rPr>
            </w:pPr>
            <w:r>
              <w:rPr>
                <w:rFonts w:ascii="Arial" w:hAnsi="Arial"/>
              </w:rPr>
              <w:t>The following semester grades will be assigned to students:</w:t>
            </w:r>
          </w:p>
        </w:tc>
      </w:tr>
    </w:tbl>
    <w:p w:rsidR="00EC0EC4" w:rsidRDefault="00EC0EC4" w:rsidP="00EC0EC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EC0EC4" w:rsidTr="00EC0EC4">
        <w:tc>
          <w:tcPr>
            <w:tcW w:w="675" w:type="dxa"/>
          </w:tcPr>
          <w:p w:rsidR="00EC0EC4" w:rsidRDefault="00EC0EC4">
            <w:pPr>
              <w:rPr>
                <w:rFonts w:ascii="Arial" w:hAnsi="Arial" w:cs="Arial"/>
              </w:rPr>
            </w:pPr>
          </w:p>
        </w:tc>
        <w:tc>
          <w:tcPr>
            <w:tcW w:w="1701" w:type="dxa"/>
          </w:tcPr>
          <w:p w:rsidR="00EC0EC4" w:rsidRDefault="00EC0EC4">
            <w:pPr>
              <w:jc w:val="center"/>
              <w:rPr>
                <w:rFonts w:ascii="Arial" w:hAnsi="Arial" w:cs="Arial"/>
                <w:i/>
                <w:iCs/>
              </w:rPr>
            </w:pPr>
          </w:p>
          <w:p w:rsidR="00EC0EC4" w:rsidRDefault="00EC0EC4">
            <w:pPr>
              <w:pStyle w:val="Heading2"/>
              <w:rPr>
                <w:rFonts w:ascii="Arial" w:hAnsi="Arial" w:cs="Arial"/>
              </w:rPr>
            </w:pPr>
            <w:r>
              <w:rPr>
                <w:rFonts w:ascii="Arial" w:hAnsi="Arial" w:cs="Arial"/>
              </w:rPr>
              <w:t>Grade</w:t>
            </w:r>
          </w:p>
        </w:tc>
        <w:tc>
          <w:tcPr>
            <w:tcW w:w="4678" w:type="dxa"/>
          </w:tcPr>
          <w:p w:rsidR="00EC0EC4" w:rsidRDefault="00EC0EC4">
            <w:pPr>
              <w:jc w:val="center"/>
              <w:rPr>
                <w:rFonts w:ascii="Arial" w:hAnsi="Arial" w:cs="Arial"/>
                <w:i/>
                <w:iCs/>
              </w:rPr>
            </w:pPr>
          </w:p>
          <w:p w:rsidR="00EC0EC4" w:rsidRDefault="00EC0EC4">
            <w:pPr>
              <w:pStyle w:val="Heading1"/>
              <w:rPr>
                <w:rFonts w:ascii="Arial" w:hAnsi="Arial" w:cs="Arial"/>
              </w:rPr>
            </w:pPr>
            <w:r>
              <w:rPr>
                <w:rFonts w:ascii="Arial" w:hAnsi="Arial" w:cs="Arial"/>
              </w:rPr>
              <w:t>Definition</w:t>
            </w:r>
          </w:p>
        </w:tc>
        <w:tc>
          <w:tcPr>
            <w:tcW w:w="1802" w:type="dxa"/>
            <w:hideMark/>
          </w:tcPr>
          <w:p w:rsidR="00EC0EC4" w:rsidRDefault="00EC0EC4">
            <w:pPr>
              <w:jc w:val="center"/>
              <w:rPr>
                <w:rFonts w:ascii="Arial" w:hAnsi="Arial" w:cs="Arial"/>
                <w:i/>
                <w:iCs/>
              </w:rPr>
            </w:pPr>
            <w:r>
              <w:rPr>
                <w:rFonts w:ascii="Arial" w:hAnsi="Arial" w:cs="Arial"/>
                <w:i/>
                <w:iCs/>
              </w:rPr>
              <w:t>Grade Point Equivalent</w:t>
            </w:r>
          </w:p>
        </w:tc>
      </w:tr>
      <w:tr w:rsidR="00EC0EC4" w:rsidTr="00EC0EC4">
        <w:trPr>
          <w:cantSplit/>
        </w:trPr>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A+</w:t>
            </w:r>
          </w:p>
        </w:tc>
        <w:tc>
          <w:tcPr>
            <w:tcW w:w="4678" w:type="dxa"/>
            <w:hideMark/>
          </w:tcPr>
          <w:p w:rsidR="00EC0EC4" w:rsidRDefault="00EC0EC4">
            <w:pPr>
              <w:jc w:val="center"/>
              <w:rPr>
                <w:rFonts w:ascii="Arial" w:hAnsi="Arial" w:cs="Arial"/>
              </w:rPr>
            </w:pPr>
            <w:r>
              <w:rPr>
                <w:rFonts w:ascii="Arial" w:hAnsi="Arial" w:cs="Arial"/>
              </w:rPr>
              <w:t>90 – 100%</w:t>
            </w:r>
          </w:p>
        </w:tc>
        <w:tc>
          <w:tcPr>
            <w:tcW w:w="1802" w:type="dxa"/>
            <w:vMerge w:val="restart"/>
            <w:vAlign w:val="center"/>
            <w:hideMark/>
          </w:tcPr>
          <w:p w:rsidR="00EC0EC4" w:rsidRDefault="00EC0EC4">
            <w:pPr>
              <w:jc w:val="center"/>
              <w:rPr>
                <w:rFonts w:ascii="Arial" w:hAnsi="Arial" w:cs="Arial"/>
              </w:rPr>
            </w:pPr>
            <w:r>
              <w:rPr>
                <w:rFonts w:ascii="Arial" w:hAnsi="Arial" w:cs="Arial"/>
              </w:rPr>
              <w:t>4.00</w:t>
            </w:r>
          </w:p>
        </w:tc>
      </w:tr>
      <w:tr w:rsidR="00EC0EC4" w:rsidTr="00EC0EC4">
        <w:trPr>
          <w:cantSplit/>
        </w:trPr>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A</w:t>
            </w:r>
          </w:p>
        </w:tc>
        <w:tc>
          <w:tcPr>
            <w:tcW w:w="4678" w:type="dxa"/>
            <w:hideMark/>
          </w:tcPr>
          <w:p w:rsidR="00EC0EC4" w:rsidRDefault="00EC0EC4">
            <w:pPr>
              <w:jc w:val="center"/>
              <w:rPr>
                <w:rFonts w:ascii="Arial" w:hAnsi="Arial" w:cs="Arial"/>
              </w:rPr>
            </w:pPr>
            <w:r>
              <w:rPr>
                <w:rFonts w:ascii="Arial" w:hAnsi="Arial" w:cs="Arial"/>
              </w:rPr>
              <w:t>80 – 89%</w:t>
            </w:r>
          </w:p>
        </w:tc>
        <w:tc>
          <w:tcPr>
            <w:tcW w:w="1802" w:type="dxa"/>
            <w:vMerge/>
            <w:vAlign w:val="center"/>
            <w:hideMark/>
          </w:tcPr>
          <w:p w:rsidR="00EC0EC4" w:rsidRDefault="00EC0EC4">
            <w:pP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B</w:t>
            </w:r>
          </w:p>
        </w:tc>
        <w:tc>
          <w:tcPr>
            <w:tcW w:w="4678" w:type="dxa"/>
            <w:hideMark/>
          </w:tcPr>
          <w:p w:rsidR="00EC0EC4" w:rsidRDefault="00EC0EC4">
            <w:pPr>
              <w:jc w:val="center"/>
              <w:rPr>
                <w:rFonts w:ascii="Arial" w:hAnsi="Arial" w:cs="Arial"/>
              </w:rPr>
            </w:pPr>
            <w:r>
              <w:rPr>
                <w:rFonts w:ascii="Arial" w:hAnsi="Arial" w:cs="Arial"/>
              </w:rPr>
              <w:t>70 - 79%</w:t>
            </w:r>
          </w:p>
        </w:tc>
        <w:tc>
          <w:tcPr>
            <w:tcW w:w="1802" w:type="dxa"/>
            <w:hideMark/>
          </w:tcPr>
          <w:p w:rsidR="00EC0EC4" w:rsidRDefault="00EC0EC4">
            <w:pPr>
              <w:jc w:val="center"/>
              <w:rPr>
                <w:rFonts w:ascii="Arial" w:hAnsi="Arial" w:cs="Arial"/>
              </w:rPr>
            </w:pPr>
            <w:r>
              <w:rPr>
                <w:rFonts w:ascii="Arial" w:hAnsi="Arial" w:cs="Arial"/>
              </w:rPr>
              <w:t>3.00</w:t>
            </w: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C</w:t>
            </w:r>
          </w:p>
        </w:tc>
        <w:tc>
          <w:tcPr>
            <w:tcW w:w="4678" w:type="dxa"/>
            <w:hideMark/>
          </w:tcPr>
          <w:p w:rsidR="00EC0EC4" w:rsidRDefault="00EC0EC4">
            <w:pPr>
              <w:jc w:val="center"/>
              <w:rPr>
                <w:rFonts w:ascii="Arial" w:hAnsi="Arial" w:cs="Arial"/>
              </w:rPr>
            </w:pPr>
            <w:r>
              <w:rPr>
                <w:rFonts w:ascii="Arial" w:hAnsi="Arial" w:cs="Arial"/>
              </w:rPr>
              <w:t>60 - 69%</w:t>
            </w:r>
          </w:p>
        </w:tc>
        <w:tc>
          <w:tcPr>
            <w:tcW w:w="1802" w:type="dxa"/>
            <w:hideMark/>
          </w:tcPr>
          <w:p w:rsidR="00EC0EC4" w:rsidRDefault="00EC0EC4">
            <w:pPr>
              <w:jc w:val="center"/>
              <w:rPr>
                <w:rFonts w:ascii="Arial" w:hAnsi="Arial" w:cs="Arial"/>
              </w:rPr>
            </w:pPr>
            <w:r>
              <w:rPr>
                <w:rFonts w:ascii="Arial" w:hAnsi="Arial" w:cs="Arial"/>
              </w:rPr>
              <w:t>2.00</w:t>
            </w: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D</w:t>
            </w:r>
          </w:p>
        </w:tc>
        <w:tc>
          <w:tcPr>
            <w:tcW w:w="4678" w:type="dxa"/>
            <w:hideMark/>
          </w:tcPr>
          <w:p w:rsidR="00EC0EC4" w:rsidRDefault="00EC0EC4">
            <w:pPr>
              <w:jc w:val="center"/>
              <w:rPr>
                <w:rFonts w:ascii="Arial" w:hAnsi="Arial" w:cs="Arial"/>
              </w:rPr>
            </w:pPr>
            <w:r>
              <w:rPr>
                <w:rFonts w:ascii="Arial" w:hAnsi="Arial" w:cs="Arial"/>
              </w:rPr>
              <w:t>50 – 59%</w:t>
            </w:r>
          </w:p>
        </w:tc>
        <w:tc>
          <w:tcPr>
            <w:tcW w:w="1802" w:type="dxa"/>
            <w:hideMark/>
          </w:tcPr>
          <w:p w:rsidR="00EC0EC4" w:rsidRDefault="00EC0EC4">
            <w:pPr>
              <w:jc w:val="center"/>
              <w:rPr>
                <w:rFonts w:ascii="Arial" w:hAnsi="Arial" w:cs="Arial"/>
              </w:rPr>
            </w:pPr>
            <w:r>
              <w:rPr>
                <w:rFonts w:ascii="Arial" w:hAnsi="Arial" w:cs="Arial"/>
              </w:rPr>
              <w:t>1.00</w:t>
            </w: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F (Fail)</w:t>
            </w:r>
          </w:p>
        </w:tc>
        <w:tc>
          <w:tcPr>
            <w:tcW w:w="4678" w:type="dxa"/>
            <w:hideMark/>
          </w:tcPr>
          <w:p w:rsidR="00EC0EC4" w:rsidRDefault="00EC0EC4">
            <w:pPr>
              <w:jc w:val="center"/>
              <w:rPr>
                <w:rFonts w:ascii="Arial" w:hAnsi="Arial" w:cs="Arial"/>
              </w:rPr>
            </w:pPr>
            <w:r>
              <w:rPr>
                <w:rFonts w:ascii="Arial" w:hAnsi="Arial" w:cs="Arial"/>
              </w:rPr>
              <w:t>49% and below</w:t>
            </w:r>
          </w:p>
        </w:tc>
        <w:tc>
          <w:tcPr>
            <w:tcW w:w="1802" w:type="dxa"/>
            <w:hideMark/>
          </w:tcPr>
          <w:p w:rsidR="00EC0EC4" w:rsidRDefault="00EC0EC4">
            <w:pPr>
              <w:jc w:val="center"/>
              <w:rPr>
                <w:rFonts w:ascii="Arial" w:hAnsi="Arial" w:cs="Arial"/>
              </w:rPr>
            </w:pPr>
            <w:r>
              <w:rPr>
                <w:rFonts w:ascii="Arial" w:hAnsi="Arial" w:cs="Arial"/>
              </w:rPr>
              <w:t>0.00</w:t>
            </w:r>
          </w:p>
        </w:tc>
      </w:tr>
      <w:tr w:rsidR="00EC0EC4" w:rsidTr="00EC0EC4">
        <w:tc>
          <w:tcPr>
            <w:tcW w:w="675" w:type="dxa"/>
          </w:tcPr>
          <w:p w:rsidR="00EC0EC4" w:rsidRDefault="00EC0EC4">
            <w:pPr>
              <w:rPr>
                <w:rFonts w:ascii="Arial" w:hAnsi="Arial" w:cs="Arial"/>
              </w:rPr>
            </w:pPr>
          </w:p>
        </w:tc>
        <w:tc>
          <w:tcPr>
            <w:tcW w:w="1701" w:type="dxa"/>
          </w:tcPr>
          <w:p w:rsidR="00EC0EC4" w:rsidRDefault="00EC0EC4">
            <w:pPr>
              <w:rPr>
                <w:rFonts w:ascii="Arial" w:hAnsi="Arial" w:cs="Arial"/>
              </w:rPr>
            </w:pPr>
          </w:p>
        </w:tc>
        <w:tc>
          <w:tcPr>
            <w:tcW w:w="4678" w:type="dxa"/>
          </w:tcPr>
          <w:p w:rsidR="00EC0EC4" w:rsidRDefault="00EC0EC4">
            <w:pPr>
              <w:rPr>
                <w:rFonts w:ascii="Arial" w:hAnsi="Arial" w:cs="Arial"/>
              </w:rPr>
            </w:pP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CR (Credit)</w:t>
            </w:r>
          </w:p>
        </w:tc>
        <w:tc>
          <w:tcPr>
            <w:tcW w:w="4678" w:type="dxa"/>
            <w:hideMark/>
          </w:tcPr>
          <w:p w:rsidR="00EC0EC4" w:rsidRDefault="00EC0EC4">
            <w:pPr>
              <w:rPr>
                <w:rFonts w:ascii="Arial" w:hAnsi="Arial" w:cs="Arial"/>
              </w:rPr>
            </w:pPr>
            <w:r>
              <w:rPr>
                <w:rFonts w:ascii="Arial" w:hAnsi="Arial" w:cs="Arial"/>
              </w:rPr>
              <w:t>Credit for diploma requirements has been awarded.</w:t>
            </w: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S</w:t>
            </w:r>
          </w:p>
        </w:tc>
        <w:tc>
          <w:tcPr>
            <w:tcW w:w="4678" w:type="dxa"/>
            <w:hideMark/>
          </w:tcPr>
          <w:p w:rsidR="00EC0EC4" w:rsidRDefault="00EC0EC4">
            <w:pPr>
              <w:rPr>
                <w:rFonts w:ascii="Arial" w:hAnsi="Arial" w:cs="Arial"/>
              </w:rPr>
            </w:pPr>
            <w:r>
              <w:rPr>
                <w:rFonts w:ascii="Arial" w:hAnsi="Arial" w:cs="Arial"/>
              </w:rPr>
              <w:t>Satisfactory achievement in field /clinical placement or non-graded subject area.</w:t>
            </w: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U</w:t>
            </w:r>
          </w:p>
        </w:tc>
        <w:tc>
          <w:tcPr>
            <w:tcW w:w="4678" w:type="dxa"/>
            <w:hideMark/>
          </w:tcPr>
          <w:p w:rsidR="00EC0EC4" w:rsidRDefault="00EC0EC4">
            <w:pPr>
              <w:rPr>
                <w:rFonts w:ascii="Arial" w:hAnsi="Arial" w:cs="Arial"/>
              </w:rPr>
            </w:pPr>
            <w:r>
              <w:rPr>
                <w:rFonts w:ascii="Arial" w:hAnsi="Arial" w:cs="Arial"/>
              </w:rPr>
              <w:t>Unsatisfactory achievement in field/clinical placement or non-graded subject area.</w:t>
            </w: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X</w:t>
            </w:r>
          </w:p>
        </w:tc>
        <w:tc>
          <w:tcPr>
            <w:tcW w:w="4678" w:type="dxa"/>
            <w:hideMark/>
          </w:tcPr>
          <w:p w:rsidR="00EC0EC4" w:rsidRDefault="00EC0EC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NR</w:t>
            </w:r>
          </w:p>
        </w:tc>
        <w:tc>
          <w:tcPr>
            <w:tcW w:w="4678" w:type="dxa"/>
            <w:hideMark/>
          </w:tcPr>
          <w:p w:rsidR="00EC0EC4" w:rsidRDefault="00EC0EC4">
            <w:pPr>
              <w:rPr>
                <w:rFonts w:ascii="Arial" w:hAnsi="Arial" w:cs="Arial"/>
              </w:rPr>
            </w:pPr>
            <w:r>
              <w:rPr>
                <w:rFonts w:ascii="Arial" w:hAnsi="Arial" w:cs="Arial"/>
              </w:rPr>
              <w:t xml:space="preserve">Grade not reported to Registrar's office.  </w:t>
            </w:r>
          </w:p>
        </w:tc>
        <w:tc>
          <w:tcPr>
            <w:tcW w:w="1802" w:type="dxa"/>
          </w:tcPr>
          <w:p w:rsidR="00EC0EC4" w:rsidRDefault="00EC0EC4">
            <w:pPr>
              <w:jc w:val="center"/>
              <w:rPr>
                <w:rFonts w:ascii="Arial" w:hAnsi="Arial" w:cs="Arial"/>
              </w:rPr>
            </w:pPr>
          </w:p>
        </w:tc>
      </w:tr>
      <w:tr w:rsidR="00EC0EC4" w:rsidTr="00EC0EC4">
        <w:tc>
          <w:tcPr>
            <w:tcW w:w="675" w:type="dxa"/>
          </w:tcPr>
          <w:p w:rsidR="00EC0EC4" w:rsidRDefault="00EC0EC4">
            <w:pPr>
              <w:rPr>
                <w:rFonts w:ascii="Arial" w:hAnsi="Arial" w:cs="Arial"/>
              </w:rPr>
            </w:pPr>
          </w:p>
        </w:tc>
        <w:tc>
          <w:tcPr>
            <w:tcW w:w="1701" w:type="dxa"/>
            <w:hideMark/>
          </w:tcPr>
          <w:p w:rsidR="00EC0EC4" w:rsidRDefault="00EC0EC4">
            <w:pPr>
              <w:rPr>
                <w:rFonts w:ascii="Arial" w:hAnsi="Arial" w:cs="Arial"/>
              </w:rPr>
            </w:pPr>
            <w:r>
              <w:rPr>
                <w:rFonts w:ascii="Arial" w:hAnsi="Arial" w:cs="Arial"/>
              </w:rPr>
              <w:t>W</w:t>
            </w:r>
          </w:p>
        </w:tc>
        <w:tc>
          <w:tcPr>
            <w:tcW w:w="4678" w:type="dxa"/>
            <w:hideMark/>
          </w:tcPr>
          <w:p w:rsidR="00EC0EC4" w:rsidRDefault="00EC0EC4">
            <w:pPr>
              <w:rPr>
                <w:rFonts w:ascii="Arial" w:hAnsi="Arial" w:cs="Arial"/>
              </w:rPr>
            </w:pPr>
            <w:r>
              <w:rPr>
                <w:rFonts w:ascii="Arial" w:hAnsi="Arial" w:cs="Arial"/>
              </w:rPr>
              <w:t>Student has withdrawn from the course without academic penalty.</w:t>
            </w:r>
          </w:p>
        </w:tc>
        <w:tc>
          <w:tcPr>
            <w:tcW w:w="1802" w:type="dxa"/>
          </w:tcPr>
          <w:p w:rsidR="00EC0EC4" w:rsidRDefault="00EC0EC4">
            <w:pPr>
              <w:jc w:val="center"/>
              <w:rPr>
                <w:rFonts w:ascii="Arial" w:hAnsi="Arial" w:cs="Arial"/>
              </w:rPr>
            </w:pPr>
          </w:p>
        </w:tc>
      </w:tr>
    </w:tbl>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p w:rsidR="00EC0EC4" w:rsidRDefault="00EC0EC4" w:rsidP="00EC0EC4">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EC0EC4" w:rsidTr="00EC0EC4">
        <w:trPr>
          <w:cantSplit/>
        </w:trPr>
        <w:tc>
          <w:tcPr>
            <w:tcW w:w="675" w:type="dxa"/>
            <w:hideMark/>
          </w:tcPr>
          <w:p w:rsidR="00EC0EC4" w:rsidRDefault="00EC0EC4">
            <w:pPr>
              <w:rPr>
                <w:rFonts w:ascii="Arial" w:hAnsi="Arial"/>
                <w:b/>
              </w:rPr>
            </w:pPr>
            <w:r>
              <w:rPr>
                <w:rFonts w:ascii="Arial" w:hAnsi="Arial"/>
                <w:b/>
              </w:rPr>
              <w:t>VI.</w:t>
            </w:r>
          </w:p>
        </w:tc>
        <w:tc>
          <w:tcPr>
            <w:tcW w:w="8181" w:type="dxa"/>
            <w:gridSpan w:val="2"/>
          </w:tcPr>
          <w:p w:rsidR="00EC0EC4" w:rsidRDefault="00EC0EC4">
            <w:pPr>
              <w:rPr>
                <w:rFonts w:ascii="Arial" w:hAnsi="Arial"/>
                <w:b/>
              </w:rPr>
            </w:pPr>
            <w:r>
              <w:rPr>
                <w:rFonts w:ascii="Arial" w:hAnsi="Arial"/>
                <w:b/>
              </w:rPr>
              <w:t>SPECIAL NOTES:</w:t>
            </w:r>
          </w:p>
          <w:p w:rsidR="00EC0EC4" w:rsidRDefault="00EC0EC4">
            <w:pPr>
              <w:rPr>
                <w:rFonts w:ascii="Arial" w:hAnsi="Arial"/>
              </w:rPr>
            </w:pPr>
          </w:p>
        </w:tc>
      </w:tr>
      <w:tr w:rsidR="00EC0EC4" w:rsidTr="00EC0EC4">
        <w:trPr>
          <w:gridAfter w:val="1"/>
          <w:wAfter w:w="18" w:type="dxa"/>
          <w:cantSplit/>
          <w:trHeight w:val="3132"/>
        </w:trPr>
        <w:tc>
          <w:tcPr>
            <w:tcW w:w="8838" w:type="dxa"/>
            <w:gridSpan w:val="2"/>
          </w:tcPr>
          <w:p w:rsidR="00EC0EC4" w:rsidRDefault="00EC0EC4">
            <w:pPr>
              <w:rPr>
                <w:rFonts w:ascii="Arial" w:hAnsi="Arial" w:cs="Arial"/>
                <w:b/>
                <w:szCs w:val="24"/>
                <w:u w:val="single"/>
              </w:rPr>
            </w:pPr>
            <w:r>
              <w:rPr>
                <w:rFonts w:ascii="Arial" w:hAnsi="Arial" w:cs="Arial"/>
                <w:b/>
                <w:szCs w:val="24"/>
                <w:u w:val="single"/>
              </w:rPr>
              <w:t>Attendance:</w:t>
            </w:r>
          </w:p>
          <w:p w:rsidR="00EC0EC4" w:rsidRDefault="00EC0EC4">
            <w:pPr>
              <w:rPr>
                <w:rFonts w:ascii="Arial" w:hAnsi="Arial" w:cs="Arial"/>
                <w:b/>
                <w:szCs w:val="24"/>
              </w:rPr>
            </w:pPr>
            <w:smartTag w:uri="urn:schemas-microsoft-com:office:smarttags" w:element="place">
              <w:smartTag w:uri="urn:schemas-microsoft-com:office:smarttags" w:element="PlaceName">
                <w:r>
                  <w:rPr>
                    <w:rFonts w:ascii="Arial" w:hAnsi="Arial" w:cs="Arial"/>
                    <w:b/>
                    <w:szCs w:val="24"/>
                  </w:rPr>
                  <w:t>Sault</w:t>
                </w:r>
              </w:smartTag>
              <w:r>
                <w:rPr>
                  <w:rFonts w:ascii="Arial" w:hAnsi="Arial" w:cs="Arial"/>
                  <w:b/>
                  <w:szCs w:val="24"/>
                </w:rPr>
                <w:t xml:space="preserve"> </w:t>
              </w:r>
              <w:smartTag w:uri="urn:schemas-microsoft-com:office:smarttags" w:element="PlaceType">
                <w:r>
                  <w:rPr>
                    <w:rFonts w:ascii="Arial" w:hAnsi="Arial" w:cs="Arial"/>
                    <w:b/>
                    <w:szCs w:val="24"/>
                  </w:rPr>
                  <w:t>College</w:t>
                </w:r>
              </w:smartTag>
            </w:smartTag>
            <w:r>
              <w:rPr>
                <w:rFonts w:ascii="Arial" w:hAnsi="Arial" w:cs="Arial"/>
                <w:b/>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C0EC4" w:rsidRDefault="00EC0EC4">
            <w:pPr>
              <w:rPr>
                <w:rFonts w:ascii="Arial" w:hAnsi="Arial" w:cs="Arial"/>
                <w:szCs w:val="24"/>
              </w:rPr>
            </w:pPr>
          </w:p>
          <w:p w:rsidR="00EC0EC4" w:rsidRDefault="00EC0EC4">
            <w:pPr>
              <w:rPr>
                <w:rFonts w:ascii="Arial" w:hAnsi="Arial" w:cs="Arial"/>
                <w:b/>
                <w:szCs w:val="24"/>
              </w:rPr>
            </w:pPr>
            <w:r>
              <w:rPr>
                <w:rFonts w:ascii="Arial" w:hAnsi="Arial" w:cs="Arial"/>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EC0EC4" w:rsidRDefault="00EC0EC4">
            <w:pPr>
              <w:rPr>
                <w:rFonts w:ascii="Arial" w:hAnsi="Arial"/>
              </w:rPr>
            </w:pPr>
          </w:p>
        </w:tc>
      </w:tr>
      <w:tr w:rsidR="00EC0EC4" w:rsidTr="00EC0EC4">
        <w:trPr>
          <w:gridAfter w:val="1"/>
          <w:wAfter w:w="18" w:type="dxa"/>
          <w:cantSplit/>
        </w:trPr>
        <w:tc>
          <w:tcPr>
            <w:tcW w:w="8838" w:type="dxa"/>
            <w:gridSpan w:val="2"/>
          </w:tcPr>
          <w:p w:rsidR="00EC0EC4" w:rsidRDefault="00EC0EC4">
            <w:pPr>
              <w:rPr>
                <w:rFonts w:ascii="Arial" w:hAnsi="Arial"/>
                <w:b/>
              </w:rPr>
            </w:pPr>
            <w:r>
              <w:rPr>
                <w:rFonts w:ascii="Arial" w:hAnsi="Arial"/>
                <w:b/>
              </w:rPr>
              <w:t>Cell phones are not allowed to be on in the classrooms or shop areas.</w:t>
            </w:r>
          </w:p>
          <w:p w:rsidR="00EC0EC4" w:rsidRDefault="00EC0EC4">
            <w:pPr>
              <w:rPr>
                <w:rFonts w:ascii="Arial" w:hAnsi="Arial" w:cs="Arial"/>
                <w:szCs w:val="24"/>
                <w:u w:val="single"/>
              </w:rPr>
            </w:pPr>
          </w:p>
          <w:p w:rsidR="00EC0EC4" w:rsidRDefault="00EC0EC4">
            <w:pPr>
              <w:rPr>
                <w:rFonts w:ascii="Arial" w:hAnsi="Arial" w:cs="Arial"/>
                <w:szCs w:val="24"/>
                <w:u w:val="single"/>
              </w:rPr>
            </w:pPr>
          </w:p>
          <w:p w:rsidR="00EC0EC4" w:rsidRDefault="00EC0EC4">
            <w:pPr>
              <w:rPr>
                <w:rFonts w:ascii="Arial" w:hAnsi="Arial" w:cs="Arial"/>
                <w:szCs w:val="24"/>
                <w:u w:val="single"/>
              </w:rPr>
            </w:pPr>
          </w:p>
          <w:p w:rsidR="00EC0EC4" w:rsidRDefault="00EC0EC4">
            <w:pPr>
              <w:rPr>
                <w:rFonts w:ascii="Arial" w:hAnsi="Arial" w:cs="Arial"/>
                <w:szCs w:val="24"/>
                <w:u w:val="single"/>
              </w:rPr>
            </w:pPr>
          </w:p>
        </w:tc>
      </w:tr>
    </w:tbl>
    <w:p w:rsidR="00EC0EC4" w:rsidRDefault="00EC0EC4" w:rsidP="00EC0EC4"/>
    <w:tbl>
      <w:tblPr>
        <w:tblW w:w="0" w:type="auto"/>
        <w:tblLayout w:type="fixed"/>
        <w:tblLook w:val="04A0" w:firstRow="1" w:lastRow="0" w:firstColumn="1" w:lastColumn="0" w:noHBand="0" w:noVBand="1"/>
      </w:tblPr>
      <w:tblGrid>
        <w:gridCol w:w="675"/>
        <w:gridCol w:w="8181"/>
      </w:tblGrid>
      <w:tr w:rsidR="00EC0EC4" w:rsidTr="00EC0EC4">
        <w:trPr>
          <w:cantSplit/>
        </w:trPr>
        <w:tc>
          <w:tcPr>
            <w:tcW w:w="675" w:type="dxa"/>
            <w:hideMark/>
          </w:tcPr>
          <w:p w:rsidR="00EC0EC4" w:rsidRDefault="00EC0EC4">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EC0EC4" w:rsidRDefault="00EC0EC4">
            <w:pPr>
              <w:rPr>
                <w:rFonts w:ascii="Arial" w:hAnsi="Arial"/>
                <w:b/>
              </w:rPr>
            </w:pPr>
            <w:r>
              <w:rPr>
                <w:rFonts w:ascii="Arial" w:hAnsi="Arial"/>
                <w:b/>
              </w:rPr>
              <w:t>COURSE OUTLINE ADDENDUM:</w:t>
            </w:r>
          </w:p>
          <w:p w:rsidR="00EC0EC4" w:rsidRDefault="00EC0EC4">
            <w:pPr>
              <w:rPr>
                <w:rFonts w:ascii="Arial" w:hAnsi="Arial"/>
                <w:b/>
              </w:rPr>
            </w:pPr>
          </w:p>
        </w:tc>
      </w:tr>
      <w:tr w:rsidR="00EC0EC4" w:rsidTr="00EC0EC4">
        <w:trPr>
          <w:cantSplit/>
        </w:trPr>
        <w:tc>
          <w:tcPr>
            <w:tcW w:w="675" w:type="dxa"/>
          </w:tcPr>
          <w:p w:rsidR="00EC0EC4" w:rsidRDefault="00EC0EC4">
            <w:pPr>
              <w:rPr>
                <w:rFonts w:ascii="Arial" w:hAnsi="Arial"/>
                <w:b/>
              </w:rPr>
            </w:pPr>
          </w:p>
        </w:tc>
        <w:tc>
          <w:tcPr>
            <w:tcW w:w="8181" w:type="dxa"/>
            <w:hideMark/>
          </w:tcPr>
          <w:p w:rsidR="00EC0EC4" w:rsidRDefault="00EC0EC4">
            <w:pPr>
              <w:rPr>
                <w:rFonts w:ascii="Arial" w:hAnsi="Arial"/>
                <w:b/>
              </w:rPr>
            </w:pPr>
            <w:r>
              <w:rPr>
                <w:rFonts w:ascii="Arial" w:hAnsi="Arial"/>
                <w:b/>
              </w:rPr>
              <w:t>The provisions contained in the addendum located on the portal form part of this course outline.</w:t>
            </w:r>
          </w:p>
        </w:tc>
      </w:tr>
    </w:tbl>
    <w:p w:rsidR="00EC0EC4" w:rsidRDefault="00EC0EC4" w:rsidP="00EC0EC4">
      <w:pPr>
        <w:pStyle w:val="EnvelopeReturn"/>
      </w:pPr>
    </w:p>
    <w:p w:rsidR="00EC0EC4" w:rsidRDefault="00EC0EC4" w:rsidP="00EC0EC4">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DA" w:rsidRDefault="003D3BDA">
      <w:r>
        <w:separator/>
      </w:r>
    </w:p>
  </w:endnote>
  <w:endnote w:type="continuationSeparator" w:id="0">
    <w:p w:rsidR="003D3BDA" w:rsidRDefault="003D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DA" w:rsidRDefault="003D3BDA">
      <w:r>
        <w:separator/>
      </w:r>
    </w:p>
  </w:footnote>
  <w:footnote w:type="continuationSeparator" w:id="0">
    <w:p w:rsidR="003D3BDA" w:rsidRDefault="003D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C0EC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C0EC4" w:rsidP="00243A34">
          <w:pPr>
            <w:rPr>
              <w:rFonts w:ascii="Arial" w:hAnsi="Arial"/>
              <w:snapToGrid w:val="0"/>
            </w:rPr>
          </w:pPr>
          <w:r>
            <w:rPr>
              <w:rFonts w:ascii="Arial" w:hAnsi="Arial"/>
            </w:rPr>
            <w:t>Automotive Drive Trains</w:t>
          </w:r>
        </w:p>
      </w:tc>
      <w:tc>
        <w:tcPr>
          <w:tcW w:w="1134" w:type="dxa"/>
        </w:tcPr>
        <w:p w:rsidR="0005601D" w:rsidRDefault="0005601D">
          <w:pPr>
            <w:pStyle w:val="Header"/>
            <w:jc w:val="center"/>
            <w:rPr>
              <w:rFonts w:ascii="Arial" w:hAnsi="Arial"/>
              <w:snapToGrid w:val="0"/>
            </w:rPr>
          </w:pPr>
        </w:p>
      </w:tc>
      <w:tc>
        <w:tcPr>
          <w:tcW w:w="3928" w:type="dxa"/>
        </w:tcPr>
        <w:p w:rsidR="0005601D" w:rsidRDefault="00EC0EC4">
          <w:pPr>
            <w:pStyle w:val="Header"/>
            <w:jc w:val="right"/>
            <w:rPr>
              <w:rFonts w:ascii="Arial" w:hAnsi="Arial"/>
              <w:snapToGrid w:val="0"/>
            </w:rPr>
          </w:pPr>
          <w:r>
            <w:rPr>
              <w:rFonts w:ascii="Arial" w:hAnsi="Arial"/>
            </w:rPr>
            <w:t>MPT0231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F532B"/>
    <w:multiLevelType w:val="hybridMultilevel"/>
    <w:tmpl w:val="E3DE70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245"/>
    <w:multiLevelType w:val="hybridMultilevel"/>
    <w:tmpl w:val="8D1ABC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4854BBB"/>
    <w:multiLevelType w:val="hybridMultilevel"/>
    <w:tmpl w:val="0D107E5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C96C5A"/>
    <w:multiLevelType w:val="hybridMultilevel"/>
    <w:tmpl w:val="F7E0D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5F145A9"/>
    <w:multiLevelType w:val="hybridMultilevel"/>
    <w:tmpl w:val="414C7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F0D442C"/>
    <w:multiLevelType w:val="hybridMultilevel"/>
    <w:tmpl w:val="37CC11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3">
    <w:nsid w:val="2F8C3F75"/>
    <w:multiLevelType w:val="hybridMultilevel"/>
    <w:tmpl w:val="667E6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5"/>
  </w:num>
  <w:num w:numId="4">
    <w:abstractNumId w:val="23"/>
  </w:num>
  <w:num w:numId="5">
    <w:abstractNumId w:val="28"/>
  </w:num>
  <w:num w:numId="6">
    <w:abstractNumId w:val="4"/>
  </w:num>
  <w:num w:numId="7">
    <w:abstractNumId w:val="1"/>
  </w:num>
  <w:num w:numId="8">
    <w:abstractNumId w:val="21"/>
  </w:num>
  <w:num w:numId="9">
    <w:abstractNumId w:val="24"/>
  </w:num>
  <w:num w:numId="10">
    <w:abstractNumId w:val="5"/>
  </w:num>
  <w:num w:numId="11">
    <w:abstractNumId w:val="19"/>
  </w:num>
  <w:num w:numId="12">
    <w:abstractNumId w:val="0"/>
  </w:num>
  <w:num w:numId="13">
    <w:abstractNumId w:val="25"/>
  </w:num>
  <w:num w:numId="14">
    <w:abstractNumId w:val="6"/>
  </w:num>
  <w:num w:numId="15">
    <w:abstractNumId w:val="17"/>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9"/>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3BDA"/>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C0EC4"/>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EC0EC4"/>
    <w:pPr>
      <w:spacing w:after="120"/>
    </w:pPr>
  </w:style>
  <w:style w:type="character" w:customStyle="1" w:styleId="BodyTextChar">
    <w:name w:val="Body Text Char"/>
    <w:basedOn w:val="DefaultParagraphFont"/>
    <w:link w:val="BodyText"/>
    <w:rsid w:val="00EC0EC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EC0EC4"/>
    <w:pPr>
      <w:spacing w:after="120"/>
    </w:pPr>
  </w:style>
  <w:style w:type="character" w:customStyle="1" w:styleId="BodyTextChar">
    <w:name w:val="Body Text Char"/>
    <w:basedOn w:val="DefaultParagraphFont"/>
    <w:link w:val="BodyText"/>
    <w:rsid w:val="00EC0EC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899321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733271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7316075">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8E5E6-D73A-47CB-BE7D-8338293DB252}"/>
</file>

<file path=customXml/itemProps2.xml><?xml version="1.0" encoding="utf-8"?>
<ds:datastoreItem xmlns:ds="http://schemas.openxmlformats.org/officeDocument/2006/customXml" ds:itemID="{1205447C-4BEB-4879-82CB-C56CCD32A4B2}"/>
</file>

<file path=customXml/itemProps3.xml><?xml version="1.0" encoding="utf-8"?>
<ds:datastoreItem xmlns:ds="http://schemas.openxmlformats.org/officeDocument/2006/customXml" ds:itemID="{C3013BC2-3FCD-4F34-A7A1-63C0F4ECE42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2012-01-29T19:16:00Z</dcterms:created>
  <dcterms:modified xsi:type="dcterms:W3CDTF">2012-01-29T19:16:00Z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1536200</vt:r8>
  </property>
</Properties>
</file>